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Pr="002F42D0"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80A38" w:rsidRDefault="00B80A38" w:rsidP="007617AF">
      <w:pPr>
        <w:pStyle w:val="Heading1"/>
        <w:spacing w:before="0"/>
        <w:jc w:val="center"/>
      </w:pPr>
      <w:r>
        <w:t>OFF</w:t>
      </w:r>
      <w:r w:rsidRPr="008858B3">
        <w:t xml:space="preserve">TAKER OF LAST RESORT ADVISORY </w:t>
      </w:r>
      <w:r>
        <w:t>GROUP</w:t>
      </w:r>
    </w:p>
    <w:p w:rsidR="00B80A38" w:rsidRPr="008858B3" w:rsidRDefault="00B80A38" w:rsidP="007617AF">
      <w:pPr>
        <w:pStyle w:val="Heading1"/>
        <w:spacing w:before="0"/>
        <w:jc w:val="center"/>
      </w:pPr>
      <w:r>
        <w:t>DISCUSSION</w:t>
      </w:r>
      <w:r w:rsidRPr="008858B3">
        <w:t xml:space="preserve"> PAPER </w:t>
      </w:r>
      <w:r w:rsidR="0036425F">
        <w:t>2.01</w:t>
      </w:r>
      <w:r w:rsidRPr="008858B3">
        <w:t xml:space="preserve">: </w:t>
      </w:r>
      <w:r>
        <w:t>SCHEME REV</w:t>
      </w:r>
      <w:bookmarkStart w:id="0" w:name="_GoBack"/>
      <w:bookmarkEnd w:id="0"/>
      <w:r>
        <w:t>IEW</w:t>
      </w:r>
    </w:p>
    <w:p w:rsidR="007F559A" w:rsidRDefault="007F559A" w:rsidP="007F559A">
      <w:pPr>
        <w:pStyle w:val="Heading3"/>
        <w:spacing w:after="200"/>
        <w:ind w:left="360"/>
      </w:pPr>
    </w:p>
    <w:p w:rsidR="007F559A" w:rsidRDefault="007F559A" w:rsidP="007F559A">
      <w:pPr>
        <w:pStyle w:val="Heading3"/>
        <w:pBdr>
          <w:top w:val="single" w:sz="4" w:space="1" w:color="auto"/>
          <w:left w:val="single" w:sz="4" w:space="4" w:color="auto"/>
          <w:bottom w:val="single" w:sz="4" w:space="1" w:color="auto"/>
          <w:right w:val="single" w:sz="4" w:space="4" w:color="auto"/>
        </w:pBdr>
        <w:spacing w:after="200"/>
      </w:pPr>
      <w:r>
        <w:t>Scheme Review Overview</w:t>
      </w:r>
    </w:p>
    <w:p w:rsidR="007F559A" w:rsidRPr="00083D29" w:rsidRDefault="007F559A" w:rsidP="007F559A">
      <w:pPr>
        <w:pBdr>
          <w:top w:val="single" w:sz="4" w:space="1" w:color="auto"/>
          <w:left w:val="single" w:sz="4" w:space="4" w:color="auto"/>
          <w:bottom w:val="single" w:sz="4" w:space="1" w:color="auto"/>
          <w:right w:val="single" w:sz="4" w:space="4" w:color="auto"/>
        </w:pBdr>
        <w:rPr>
          <w:b/>
          <w:color w:val="000000" w:themeColor="text1"/>
        </w:rPr>
      </w:pPr>
      <w:r w:rsidRPr="00083D29">
        <w:rPr>
          <w:b/>
          <w:color w:val="000000" w:themeColor="text1"/>
        </w:rPr>
        <w:t>Headlines:</w:t>
      </w:r>
    </w:p>
    <w:p w:rsidR="007F559A" w:rsidRPr="00083D29" w:rsidRDefault="006B41F0"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 xml:space="preserve">The </w:t>
      </w:r>
      <w:proofErr w:type="spellStart"/>
      <w:r>
        <w:rPr>
          <w:color w:val="000000" w:themeColor="text1"/>
        </w:rPr>
        <w:t>offtaker</w:t>
      </w:r>
      <w:proofErr w:type="spellEnd"/>
      <w:r>
        <w:rPr>
          <w:color w:val="000000" w:themeColor="text1"/>
        </w:rPr>
        <w:t xml:space="preserve"> of last resort (OLR) mechanism</w:t>
      </w:r>
      <w:r w:rsidR="007F559A">
        <w:rPr>
          <w:color w:val="000000" w:themeColor="text1"/>
        </w:rPr>
        <w:t xml:space="preserve"> is intended to </w:t>
      </w:r>
      <w:r>
        <w:rPr>
          <w:color w:val="000000" w:themeColor="text1"/>
        </w:rPr>
        <w:t xml:space="preserve">be transitional, and only open </w:t>
      </w:r>
      <w:r w:rsidR="007F559A">
        <w:rPr>
          <w:color w:val="000000" w:themeColor="text1"/>
        </w:rPr>
        <w:t xml:space="preserve">to new generators until the market for bankable PPAs </w:t>
      </w:r>
      <w:r>
        <w:rPr>
          <w:color w:val="000000" w:themeColor="text1"/>
        </w:rPr>
        <w:t xml:space="preserve">is </w:t>
      </w:r>
      <w:r w:rsidR="007F559A">
        <w:rPr>
          <w:color w:val="000000" w:themeColor="text1"/>
        </w:rPr>
        <w:t xml:space="preserve">sufficiently robust. A periodic review process is therefore proposed to monitor </w:t>
      </w:r>
      <w:r>
        <w:rPr>
          <w:color w:val="000000" w:themeColor="text1"/>
        </w:rPr>
        <w:t xml:space="preserve">conditions in the open market and </w:t>
      </w:r>
      <w:r w:rsidR="007F559A">
        <w:rPr>
          <w:color w:val="000000" w:themeColor="text1"/>
        </w:rPr>
        <w:t xml:space="preserve">the performance of the </w:t>
      </w:r>
      <w:r>
        <w:rPr>
          <w:color w:val="000000" w:themeColor="text1"/>
        </w:rPr>
        <w:t>OLR mechanism.</w:t>
      </w:r>
    </w:p>
    <w:p w:rsidR="007F559A" w:rsidRDefault="00AE23C2"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 xml:space="preserve">The proposed review process would be for annual updates combined with a comprehensive review in 2018/19 to align with the end of the </w:t>
      </w:r>
      <w:r w:rsidR="006B41F0">
        <w:rPr>
          <w:color w:val="000000" w:themeColor="text1"/>
        </w:rPr>
        <w:t xml:space="preserve">first </w:t>
      </w:r>
      <w:r>
        <w:rPr>
          <w:color w:val="000000" w:themeColor="text1"/>
        </w:rPr>
        <w:t>EMR delivery plan</w:t>
      </w:r>
      <w:r w:rsidR="006B41F0">
        <w:rPr>
          <w:color w:val="000000" w:themeColor="text1"/>
        </w:rPr>
        <w:t xml:space="preserve"> period</w:t>
      </w:r>
      <w:r>
        <w:rPr>
          <w:color w:val="000000" w:themeColor="text1"/>
        </w:rPr>
        <w:t>.</w:t>
      </w:r>
    </w:p>
    <w:p w:rsidR="00F0569F" w:rsidRDefault="00AE23C2"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 xml:space="preserve">The intention is for the annual updates to have only a limited scope, serving primarily to update market participants </w:t>
      </w:r>
      <w:r w:rsidR="006B41F0">
        <w:rPr>
          <w:color w:val="000000" w:themeColor="text1"/>
        </w:rPr>
        <w:t xml:space="preserve">on </w:t>
      </w:r>
      <w:r>
        <w:rPr>
          <w:color w:val="000000" w:themeColor="text1"/>
        </w:rPr>
        <w:t>key performance measures.</w:t>
      </w:r>
      <w:r w:rsidR="006B41F0">
        <w:rPr>
          <w:color w:val="000000" w:themeColor="text1"/>
        </w:rPr>
        <w:t xml:space="preserve"> </w:t>
      </w:r>
      <w:r w:rsidR="00F0569F">
        <w:rPr>
          <w:color w:val="000000" w:themeColor="text1"/>
        </w:rPr>
        <w:t xml:space="preserve">Annual reviews </w:t>
      </w:r>
      <w:r w:rsidR="006B41F0">
        <w:rPr>
          <w:color w:val="000000" w:themeColor="text1"/>
        </w:rPr>
        <w:t xml:space="preserve">may also consider </w:t>
      </w:r>
      <w:r w:rsidR="006B41F0" w:rsidRPr="001E694A">
        <w:rPr>
          <w:color w:val="000000" w:themeColor="text1"/>
        </w:rPr>
        <w:t>whether a</w:t>
      </w:r>
      <w:r w:rsidRPr="001E694A">
        <w:rPr>
          <w:color w:val="000000" w:themeColor="text1"/>
        </w:rPr>
        <w:t xml:space="preserve">dditional generation technologies </w:t>
      </w:r>
      <w:r w:rsidR="006B41F0" w:rsidRPr="001E694A">
        <w:rPr>
          <w:color w:val="000000" w:themeColor="text1"/>
        </w:rPr>
        <w:t xml:space="preserve">should </w:t>
      </w:r>
      <w:r w:rsidRPr="001E694A">
        <w:rPr>
          <w:color w:val="000000" w:themeColor="text1"/>
        </w:rPr>
        <w:t>be eligible</w:t>
      </w:r>
      <w:r w:rsidR="006B41F0" w:rsidRPr="001E694A">
        <w:rPr>
          <w:color w:val="000000" w:themeColor="text1"/>
        </w:rPr>
        <w:t xml:space="preserve"> for the OLR</w:t>
      </w:r>
      <w:r w:rsidR="006B41F0">
        <w:rPr>
          <w:color w:val="000000" w:themeColor="text1"/>
        </w:rPr>
        <w:t>,</w:t>
      </w:r>
      <w:r>
        <w:rPr>
          <w:color w:val="000000" w:themeColor="text1"/>
        </w:rPr>
        <w:t xml:space="preserve"> and </w:t>
      </w:r>
      <w:r w:rsidR="006B41F0">
        <w:rPr>
          <w:color w:val="000000" w:themeColor="text1"/>
        </w:rPr>
        <w:t xml:space="preserve">whether </w:t>
      </w:r>
      <w:r>
        <w:rPr>
          <w:color w:val="000000" w:themeColor="text1"/>
        </w:rPr>
        <w:t xml:space="preserve">the discount or terms of </w:t>
      </w:r>
      <w:r w:rsidR="006B41F0">
        <w:rPr>
          <w:color w:val="000000" w:themeColor="text1"/>
        </w:rPr>
        <w:t xml:space="preserve">backstop </w:t>
      </w:r>
      <w:r>
        <w:rPr>
          <w:color w:val="000000" w:themeColor="text1"/>
        </w:rPr>
        <w:t>PPA</w:t>
      </w:r>
      <w:r w:rsidR="006B41F0">
        <w:rPr>
          <w:color w:val="000000" w:themeColor="text1"/>
        </w:rPr>
        <w:t>s need to</w:t>
      </w:r>
      <w:r>
        <w:rPr>
          <w:color w:val="000000" w:themeColor="text1"/>
        </w:rPr>
        <w:t xml:space="preserve"> be changed. </w:t>
      </w:r>
    </w:p>
    <w:p w:rsidR="00AE23C2" w:rsidRDefault="00AE23C2"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 xml:space="preserve">The comprehensive review would consider </w:t>
      </w:r>
      <w:r w:rsidR="006B41F0">
        <w:rPr>
          <w:color w:val="000000" w:themeColor="text1"/>
        </w:rPr>
        <w:t xml:space="preserve">whether the OLR should remain open to new generators, and if so whether any changes should be made to the scheme design, including </w:t>
      </w:r>
      <w:r>
        <w:rPr>
          <w:color w:val="000000" w:themeColor="text1"/>
        </w:rPr>
        <w:t xml:space="preserve">the allocation </w:t>
      </w:r>
      <w:r w:rsidR="006B41F0">
        <w:rPr>
          <w:color w:val="000000" w:themeColor="text1"/>
        </w:rPr>
        <w:t>and</w:t>
      </w:r>
      <w:r>
        <w:rPr>
          <w:color w:val="000000" w:themeColor="text1"/>
        </w:rPr>
        <w:t xml:space="preserve"> </w:t>
      </w:r>
      <w:proofErr w:type="spellStart"/>
      <w:r>
        <w:rPr>
          <w:color w:val="000000" w:themeColor="text1"/>
        </w:rPr>
        <w:t>levelisation</w:t>
      </w:r>
      <w:proofErr w:type="spellEnd"/>
      <w:r>
        <w:rPr>
          <w:color w:val="000000" w:themeColor="text1"/>
        </w:rPr>
        <w:t xml:space="preserve"> mechanism</w:t>
      </w:r>
      <w:r w:rsidR="006B41F0">
        <w:rPr>
          <w:color w:val="000000" w:themeColor="text1"/>
        </w:rPr>
        <w:t>s</w:t>
      </w:r>
      <w:r w:rsidR="003F2AD5">
        <w:rPr>
          <w:color w:val="000000" w:themeColor="text1"/>
        </w:rPr>
        <w:t>.</w:t>
      </w:r>
    </w:p>
    <w:p w:rsidR="00AE23C2" w:rsidRPr="00083D29" w:rsidRDefault="00AE23C2"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Any changes at either the annual updates or the comprehensive review would only apply to new generation projects</w:t>
      </w:r>
      <w:r w:rsidR="00F0569F">
        <w:rPr>
          <w:color w:val="000000" w:themeColor="text1"/>
        </w:rPr>
        <w:t xml:space="preserve"> (other than changes that do not ‘go to value’ – for example, to the allocation or </w:t>
      </w:r>
      <w:proofErr w:type="spellStart"/>
      <w:r w:rsidR="00F0569F">
        <w:rPr>
          <w:color w:val="000000" w:themeColor="text1"/>
        </w:rPr>
        <w:t>levelisation</w:t>
      </w:r>
      <w:proofErr w:type="spellEnd"/>
      <w:r w:rsidR="00F0569F">
        <w:rPr>
          <w:color w:val="000000" w:themeColor="text1"/>
        </w:rPr>
        <w:t xml:space="preserve"> mechanisms)</w:t>
      </w:r>
      <w:r>
        <w:rPr>
          <w:color w:val="000000" w:themeColor="text1"/>
        </w:rPr>
        <w:t xml:space="preserve">, with </w:t>
      </w:r>
      <w:r w:rsidR="00AB55A1">
        <w:rPr>
          <w:color w:val="000000" w:themeColor="text1"/>
        </w:rPr>
        <w:t>existing</w:t>
      </w:r>
      <w:r w:rsidR="00F0569F">
        <w:rPr>
          <w:color w:val="000000" w:themeColor="text1"/>
        </w:rPr>
        <w:t xml:space="preserve"> generators</w:t>
      </w:r>
      <w:r w:rsidR="00AB55A1">
        <w:rPr>
          <w:color w:val="000000" w:themeColor="text1"/>
        </w:rPr>
        <w:t>’</w:t>
      </w:r>
      <w:r w:rsidR="00F0569F">
        <w:rPr>
          <w:color w:val="000000" w:themeColor="text1"/>
        </w:rPr>
        <w:t xml:space="preserve"> </w:t>
      </w:r>
      <w:r>
        <w:rPr>
          <w:color w:val="000000" w:themeColor="text1"/>
        </w:rPr>
        <w:t xml:space="preserve">right </w:t>
      </w:r>
      <w:r w:rsidR="00F0569F">
        <w:rPr>
          <w:color w:val="000000" w:themeColor="text1"/>
        </w:rPr>
        <w:t>of access to the mechanism and the terms of b</w:t>
      </w:r>
      <w:r>
        <w:rPr>
          <w:color w:val="000000" w:themeColor="text1"/>
        </w:rPr>
        <w:t>ackstop PPA</w:t>
      </w:r>
      <w:r w:rsidR="00F0569F">
        <w:rPr>
          <w:color w:val="000000" w:themeColor="text1"/>
        </w:rPr>
        <w:t>s</w:t>
      </w:r>
      <w:r>
        <w:rPr>
          <w:color w:val="000000" w:themeColor="text1"/>
        </w:rPr>
        <w:t xml:space="preserve"> grandfathered from the date on which </w:t>
      </w:r>
      <w:r w:rsidR="00AB55A1">
        <w:rPr>
          <w:color w:val="000000" w:themeColor="text1"/>
        </w:rPr>
        <w:t xml:space="preserve">their </w:t>
      </w:r>
      <w:proofErr w:type="spellStart"/>
      <w:r w:rsidR="00AB55A1">
        <w:rPr>
          <w:color w:val="000000" w:themeColor="text1"/>
        </w:rPr>
        <w:t>CfDs</w:t>
      </w:r>
      <w:proofErr w:type="spellEnd"/>
      <w:r w:rsidR="00AB55A1">
        <w:rPr>
          <w:color w:val="000000" w:themeColor="text1"/>
        </w:rPr>
        <w:t xml:space="preserve"> were</w:t>
      </w:r>
      <w:r w:rsidR="00F0569F">
        <w:rPr>
          <w:color w:val="000000" w:themeColor="text1"/>
        </w:rPr>
        <w:t xml:space="preserve"> signed</w:t>
      </w:r>
      <w:r w:rsidR="00F0569F">
        <w:rPr>
          <w:rStyle w:val="FootnoteReference"/>
          <w:color w:val="000000" w:themeColor="text1"/>
        </w:rPr>
        <w:footnoteReference w:id="1"/>
      </w:r>
      <w:r>
        <w:rPr>
          <w:color w:val="000000" w:themeColor="text1"/>
        </w:rPr>
        <w:t>.</w:t>
      </w:r>
      <w:r w:rsidR="00B53D71">
        <w:rPr>
          <w:color w:val="000000" w:themeColor="text1"/>
        </w:rPr>
        <w:t xml:space="preserve"> Ther</w:t>
      </w:r>
      <w:r w:rsidR="005942B0">
        <w:rPr>
          <w:color w:val="000000" w:themeColor="text1"/>
        </w:rPr>
        <w:t>e</w:t>
      </w:r>
      <w:r w:rsidR="00B53D71">
        <w:rPr>
          <w:color w:val="000000" w:themeColor="text1"/>
        </w:rPr>
        <w:t xml:space="preserve"> would be consultation before implementation of any recommended changes.</w:t>
      </w:r>
    </w:p>
    <w:p w:rsidR="007F559A" w:rsidRPr="00BB1ECD" w:rsidRDefault="007F559A" w:rsidP="007F559A">
      <w:pPr>
        <w:pBdr>
          <w:top w:val="single" w:sz="4" w:space="1" w:color="auto"/>
          <w:left w:val="single" w:sz="4" w:space="4" w:color="auto"/>
          <w:bottom w:val="single" w:sz="4" w:space="1" w:color="auto"/>
          <w:right w:val="single" w:sz="4" w:space="4" w:color="auto"/>
        </w:pBdr>
        <w:rPr>
          <w:b/>
          <w:color w:val="000000" w:themeColor="text1"/>
        </w:rPr>
      </w:pPr>
      <w:r w:rsidRPr="00BB1ECD">
        <w:rPr>
          <w:b/>
          <w:color w:val="000000" w:themeColor="text1"/>
        </w:rPr>
        <w:t>Key Questions:</w:t>
      </w:r>
    </w:p>
    <w:p w:rsidR="007F559A" w:rsidRPr="007F559A" w:rsidRDefault="00B53D71"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 xml:space="preserve">Do you agree with the proposed </w:t>
      </w:r>
      <w:r w:rsidR="007F559A" w:rsidRPr="007F559A">
        <w:rPr>
          <w:color w:val="000000" w:themeColor="text1"/>
        </w:rPr>
        <w:t>combination of annual updates and comprehensive review?</w:t>
      </w:r>
    </w:p>
    <w:p w:rsidR="007F559A" w:rsidRPr="007F559A" w:rsidRDefault="007F559A"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sidRPr="007F559A">
        <w:rPr>
          <w:color w:val="000000" w:themeColor="text1"/>
        </w:rPr>
        <w:t>Does the proposed approach strike the correct balance between being clear about the intentions of the process whilst allowing sufficient flexibility in its implementation?</w:t>
      </w:r>
    </w:p>
    <w:p w:rsidR="007F559A" w:rsidRPr="007F559A" w:rsidRDefault="00B53D71" w:rsidP="007F559A">
      <w:pPr>
        <w:pStyle w:val="ListParagraph"/>
        <w:numPr>
          <w:ilvl w:val="1"/>
          <w:numId w:val="14"/>
        </w:numPr>
        <w:pBdr>
          <w:top w:val="single" w:sz="4" w:space="1" w:color="auto"/>
          <w:left w:val="single" w:sz="4" w:space="4" w:color="auto"/>
          <w:bottom w:val="single" w:sz="4" w:space="1" w:color="auto"/>
          <w:right w:val="single" w:sz="4" w:space="4" w:color="auto"/>
        </w:pBdr>
        <w:ind w:left="567" w:hanging="567"/>
        <w:contextualSpacing w:val="0"/>
        <w:rPr>
          <w:color w:val="000000" w:themeColor="text1"/>
        </w:rPr>
      </w:pPr>
      <w:r>
        <w:rPr>
          <w:color w:val="000000" w:themeColor="text1"/>
        </w:rPr>
        <w:t>Does the group have any suggestions for data sources to inform scheme reviews?</w:t>
      </w:r>
    </w:p>
    <w:p w:rsidR="007F559A" w:rsidRPr="007F559A" w:rsidRDefault="007F559A" w:rsidP="007F559A"/>
    <w:p w:rsidR="00B80A38" w:rsidRDefault="00B80A38" w:rsidP="000F6ADF">
      <w:pPr>
        <w:pStyle w:val="Heading3"/>
        <w:numPr>
          <w:ilvl w:val="0"/>
          <w:numId w:val="14"/>
        </w:numPr>
        <w:spacing w:after="200"/>
      </w:pPr>
      <w:r>
        <w:lastRenderedPageBreak/>
        <w:t>Introduction</w:t>
      </w:r>
    </w:p>
    <w:p w:rsidR="00141CC0" w:rsidRDefault="00EC372A" w:rsidP="00141CC0">
      <w:pPr>
        <w:pStyle w:val="ListParagraph"/>
        <w:numPr>
          <w:ilvl w:val="1"/>
          <w:numId w:val="14"/>
        </w:numPr>
        <w:ind w:left="567" w:hanging="567"/>
        <w:contextualSpacing w:val="0"/>
      </w:pPr>
      <w:r>
        <w:t xml:space="preserve">The </w:t>
      </w:r>
      <w:r w:rsidR="00B53D71">
        <w:t>OLR mechanism</w:t>
      </w:r>
      <w:r>
        <w:t xml:space="preserve"> is intended to be a temporary measure</w:t>
      </w:r>
      <w:r w:rsidR="00C27FEE">
        <w:t>, remaining</w:t>
      </w:r>
      <w:r>
        <w:t xml:space="preserve"> in place only </w:t>
      </w:r>
      <w:r w:rsidR="00C27FEE">
        <w:t xml:space="preserve">until the market for bankable </w:t>
      </w:r>
      <w:r w:rsidR="00C27FEE" w:rsidRPr="00FE1A64">
        <w:rPr>
          <w:rFonts w:cstheme="minorHAnsi"/>
        </w:rPr>
        <w:t>PPAs</w:t>
      </w:r>
      <w:r w:rsidR="00C27FEE">
        <w:t xml:space="preserve"> </w:t>
      </w:r>
      <w:r w:rsidR="00B53D71">
        <w:t xml:space="preserve">is </w:t>
      </w:r>
      <w:r w:rsidR="00C27FEE">
        <w:t>sufficiently robust</w:t>
      </w:r>
      <w:r w:rsidR="00B53D71">
        <w:t xml:space="preserve"> and lenders, generators and </w:t>
      </w:r>
      <w:proofErr w:type="spellStart"/>
      <w:r w:rsidR="00B53D71">
        <w:t>offtakers</w:t>
      </w:r>
      <w:proofErr w:type="spellEnd"/>
      <w:r w:rsidR="00B53D71">
        <w:t xml:space="preserve"> have become comfortable with the </w:t>
      </w:r>
      <w:proofErr w:type="spellStart"/>
      <w:r w:rsidR="00B53D71">
        <w:t>CfD</w:t>
      </w:r>
      <w:proofErr w:type="spellEnd"/>
      <w:r w:rsidR="00B53D71">
        <w:t xml:space="preserve"> regime</w:t>
      </w:r>
      <w:r w:rsidR="00C27FEE">
        <w:t xml:space="preserve">. This paper is concerned with the </w:t>
      </w:r>
      <w:r w:rsidR="00C27FEE" w:rsidRPr="000F6ADF">
        <w:rPr>
          <w:rFonts w:cstheme="minorHAnsi"/>
        </w:rPr>
        <w:t>procedure</w:t>
      </w:r>
      <w:r w:rsidR="00C27FEE">
        <w:t xml:space="preserve"> for </w:t>
      </w:r>
      <w:r w:rsidR="00B53D71">
        <w:t xml:space="preserve">considering closure of </w:t>
      </w:r>
      <w:r w:rsidR="00C27FEE">
        <w:t>the scheme</w:t>
      </w:r>
      <w:r w:rsidR="00B53D71">
        <w:t>, as well as reviewing its terms</w:t>
      </w:r>
      <w:r w:rsidR="00C27FEE">
        <w:t xml:space="preserve"> to ensure that it continues to </w:t>
      </w:r>
      <w:r w:rsidR="00B53D71">
        <w:t xml:space="preserve">achieve its objectives </w:t>
      </w:r>
      <w:r w:rsidR="00C27FEE">
        <w:t>whilst remaining a “last resort” option for generators.</w:t>
      </w:r>
    </w:p>
    <w:p w:rsidR="00EC372A" w:rsidRDefault="00141CC0" w:rsidP="00141CC0">
      <w:pPr>
        <w:pStyle w:val="ListParagraph"/>
        <w:numPr>
          <w:ilvl w:val="1"/>
          <w:numId w:val="14"/>
        </w:numPr>
        <w:ind w:left="567" w:hanging="567"/>
        <w:contextualSpacing w:val="0"/>
      </w:pPr>
      <w:r>
        <w:t xml:space="preserve">This paper is only concerned with changes to the scheme for </w:t>
      </w:r>
      <w:r>
        <w:rPr>
          <w:i/>
        </w:rPr>
        <w:t xml:space="preserve">new </w:t>
      </w:r>
      <w:r>
        <w:t>generators</w:t>
      </w:r>
      <w:r w:rsidR="00B53D71">
        <w:t>,</w:t>
      </w:r>
      <w:r>
        <w:t xml:space="preserve"> with </w:t>
      </w:r>
      <w:r w:rsidR="00B53D71">
        <w:t>existing generators</w:t>
      </w:r>
      <w:r w:rsidR="00C070DF">
        <w:t>’</w:t>
      </w:r>
      <w:r w:rsidR="00B53D71">
        <w:t xml:space="preserve"> </w:t>
      </w:r>
      <w:r w:rsidRPr="004C6B2F">
        <w:t xml:space="preserve">rights </w:t>
      </w:r>
      <w:r w:rsidR="00B53D71">
        <w:t>of access to the OLR mechanism and terms of their b</w:t>
      </w:r>
      <w:r w:rsidRPr="004C6B2F">
        <w:t>ackstop PPA</w:t>
      </w:r>
      <w:r w:rsidR="00B53D71">
        <w:t>s being</w:t>
      </w:r>
      <w:r w:rsidRPr="004C6B2F">
        <w:t xml:space="preserve"> grandfathered</w:t>
      </w:r>
      <w:r>
        <w:t xml:space="preserve"> from the date on which the </w:t>
      </w:r>
      <w:proofErr w:type="spellStart"/>
      <w:r>
        <w:t>CfD</w:t>
      </w:r>
      <w:proofErr w:type="spellEnd"/>
      <w:r>
        <w:t xml:space="preserve"> was signed.</w:t>
      </w:r>
    </w:p>
    <w:p w:rsidR="00FE1A64" w:rsidRDefault="00FE1A64" w:rsidP="00463128">
      <w:pPr>
        <w:pStyle w:val="ListParagraph"/>
        <w:numPr>
          <w:ilvl w:val="1"/>
          <w:numId w:val="14"/>
        </w:numPr>
        <w:ind w:left="567" w:hanging="567"/>
        <w:contextualSpacing w:val="0"/>
      </w:pPr>
      <w:r>
        <w:t xml:space="preserve">The paper </w:t>
      </w:r>
      <w:r w:rsidR="00C070DF">
        <w:t>sets out</w:t>
      </w:r>
      <w:r w:rsidR="00463128">
        <w:t xml:space="preserve"> a preferred approach for reviewing the scheme. It suggest a timetable for each review, identifies the factors that might be take</w:t>
      </w:r>
      <w:r w:rsidR="00C070DF">
        <w:t>n</w:t>
      </w:r>
      <w:r w:rsidR="00463128">
        <w:t xml:space="preserve"> into account as part of the review process, and provides a non-exhaustive list of changes to the scheme that might arise as a result.</w:t>
      </w:r>
    </w:p>
    <w:p w:rsidR="007617AF" w:rsidRDefault="001A1F30" w:rsidP="007617AF">
      <w:pPr>
        <w:pStyle w:val="Heading3"/>
        <w:numPr>
          <w:ilvl w:val="0"/>
          <w:numId w:val="14"/>
        </w:numPr>
        <w:spacing w:after="200"/>
        <w:ind w:left="357" w:hanging="357"/>
      </w:pPr>
      <w:r w:rsidRPr="00F42319">
        <w:t>Assessment Criteria</w:t>
      </w:r>
    </w:p>
    <w:p w:rsidR="007617AF" w:rsidRDefault="007617AF" w:rsidP="000F6ADF">
      <w:pPr>
        <w:pStyle w:val="ListParagraph"/>
        <w:numPr>
          <w:ilvl w:val="1"/>
          <w:numId w:val="14"/>
        </w:numPr>
        <w:ind w:left="567" w:hanging="567"/>
        <w:contextualSpacing w:val="0"/>
      </w:pPr>
      <w:r>
        <w:t xml:space="preserve">The </w:t>
      </w:r>
      <w:r w:rsidRPr="000F6ADF">
        <w:rPr>
          <w:rFonts w:cstheme="minorHAnsi"/>
        </w:rPr>
        <w:t>design</w:t>
      </w:r>
      <w:r>
        <w:t xml:space="preserve"> of the review procedure should align with the criteria set out in Table [1] below.</w:t>
      </w:r>
    </w:p>
    <w:p w:rsidR="007617AF" w:rsidRPr="007617AF" w:rsidRDefault="007617AF" w:rsidP="007617AF">
      <w:pPr>
        <w:rPr>
          <w:b/>
        </w:rPr>
      </w:pPr>
      <w:r w:rsidRPr="007617AF">
        <w:rPr>
          <w:b/>
        </w:rPr>
        <w:t>Table [1]: Assessment criteria</w:t>
      </w:r>
    </w:p>
    <w:tbl>
      <w:tblPr>
        <w:tblW w:w="0" w:type="auto"/>
        <w:tblInd w:w="108" w:type="dxa"/>
        <w:tblCellMar>
          <w:left w:w="0" w:type="dxa"/>
          <w:right w:w="0" w:type="dxa"/>
        </w:tblCellMar>
        <w:tblLook w:val="04A0" w:firstRow="1" w:lastRow="0" w:firstColumn="1" w:lastColumn="0" w:noHBand="0" w:noVBand="1"/>
      </w:tblPr>
      <w:tblGrid>
        <w:gridCol w:w="2622"/>
        <w:gridCol w:w="6512"/>
      </w:tblGrid>
      <w:tr w:rsidR="00C27FEE" w:rsidRPr="00811111" w:rsidTr="00816EA9">
        <w:tc>
          <w:tcPr>
            <w:tcW w:w="2622"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hideMark/>
          </w:tcPr>
          <w:p w:rsidR="00C27FEE" w:rsidRPr="00811111" w:rsidRDefault="00C27FEE" w:rsidP="007617AF">
            <w:pPr>
              <w:rPr>
                <w:b/>
                <w:bCs/>
                <w:color w:val="FFFFFF"/>
              </w:rPr>
            </w:pPr>
            <w:r w:rsidRPr="00811111">
              <w:rPr>
                <w:b/>
                <w:bCs/>
                <w:color w:val="FFFFFF"/>
              </w:rPr>
              <w:t>Criteria</w:t>
            </w:r>
          </w:p>
        </w:tc>
        <w:tc>
          <w:tcPr>
            <w:tcW w:w="6512"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hideMark/>
          </w:tcPr>
          <w:p w:rsidR="00C27FEE" w:rsidRPr="00811111" w:rsidRDefault="007617AF" w:rsidP="007617AF">
            <w:pPr>
              <w:rPr>
                <w:b/>
                <w:bCs/>
                <w:color w:val="FFFFFF"/>
              </w:rPr>
            </w:pPr>
            <w:r w:rsidRPr="00811111">
              <w:rPr>
                <w:b/>
                <w:bCs/>
                <w:color w:val="FFFFFF"/>
              </w:rPr>
              <w:t>Description</w:t>
            </w:r>
          </w:p>
        </w:tc>
      </w:tr>
      <w:tr w:rsidR="00811111" w:rsidRPr="00811111"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bCs/>
                <w:color w:val="000000"/>
                <w:lang w:eastAsia="en-GB"/>
              </w:rPr>
            </w:pPr>
            <w:r w:rsidRPr="00811111">
              <w:rPr>
                <w:rFonts w:eastAsia="Times New Roman" w:cs="Times New Roman"/>
                <w:b/>
                <w:bCs/>
                <w:color w:val="000000"/>
                <w:lang w:eastAsia="en-GB"/>
              </w:rPr>
              <w:t>Availability of financeable routes to market for independents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The scheme should not be removed unless the identified market failure has been addressed</w:t>
            </w:r>
          </w:p>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The scheme review procedure should provide sufficient certainty to potential developers.</w:t>
            </w:r>
          </w:p>
        </w:tc>
      </w:tr>
      <w:tr w:rsidR="00811111" w:rsidRPr="00811111"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Minimise system costs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Review process should allow removal/ change of the scheme when necessary, and with sufficient speed to minimise system risks or costs.</w:t>
            </w:r>
          </w:p>
        </w:tc>
      </w:tr>
      <w:tr w:rsidR="00811111" w:rsidRPr="00811111"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 xml:space="preserve">Impact on suppliers </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Provides sufficient certainty to suppliers to allow them to appropriately manage any increased cost or risk</w:t>
            </w:r>
          </w:p>
        </w:tc>
      </w:tr>
      <w:tr w:rsidR="00811111" w:rsidRPr="00811111" w:rsidTr="00FE1A64">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Potential for market distortions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tcPr>
          <w:p w:rsidR="00F003D9" w:rsidRDefault="00F003D9"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Need flexibility to change scheme to respond to any adverse impact on the PPA or generation market</w:t>
            </w:r>
          </w:p>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 xml:space="preserve">Needs to be compatible with the transition to competitive </w:t>
            </w:r>
            <w:proofErr w:type="spellStart"/>
            <w:r w:rsidRPr="00811111">
              <w:rPr>
                <w:rFonts w:eastAsia="Times New Roman" w:cs="Times New Roman"/>
                <w:color w:val="000000"/>
                <w:lang w:eastAsia="en-GB"/>
              </w:rPr>
              <w:t>CfD</w:t>
            </w:r>
            <w:proofErr w:type="spellEnd"/>
            <w:r w:rsidRPr="00811111">
              <w:rPr>
                <w:rFonts w:eastAsia="Times New Roman" w:cs="Times New Roman"/>
                <w:color w:val="000000"/>
                <w:lang w:eastAsia="en-GB"/>
              </w:rPr>
              <w:t xml:space="preserve"> allocation</w:t>
            </w:r>
          </w:p>
        </w:tc>
      </w:tr>
      <w:tr w:rsidR="00811111" w:rsidRPr="00811111" w:rsidTr="00FE1A64">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Practicality and cost of implementation and administration</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Administrative cost of review need to be proportionate</w:t>
            </w:r>
          </w:p>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Necessary data need to be available</w:t>
            </w:r>
          </w:p>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Review timetable to be aligned with similar processes where possible</w:t>
            </w:r>
          </w:p>
        </w:tc>
      </w:tr>
      <w:tr w:rsidR="00811111" w:rsidRPr="00811111" w:rsidTr="00FE1A64">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811111" w:rsidRPr="00811111" w:rsidRDefault="00811111"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Legal risk and potential compliance cost</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tcPr>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Review should be transparent and objective, whilst providing sufficient discretion to the Secretary of State to minimise the possibility of Judicial Review</w:t>
            </w:r>
          </w:p>
          <w:p w:rsidR="00811111" w:rsidRPr="00811111" w:rsidRDefault="00811111" w:rsidP="00811111">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811111">
              <w:rPr>
                <w:rFonts w:eastAsia="Times New Roman" w:cs="Times New Roman"/>
                <w:color w:val="000000"/>
                <w:lang w:eastAsia="en-GB"/>
              </w:rPr>
              <w:t>Process needs to incorporate relevant legal requirements (e.g. consultation and State Aid clearance)</w:t>
            </w:r>
          </w:p>
        </w:tc>
      </w:tr>
    </w:tbl>
    <w:p w:rsidR="002D3C56" w:rsidRPr="00141CC0" w:rsidRDefault="002D3C56" w:rsidP="007617AF">
      <w:pPr>
        <w:rPr>
          <w:rFonts w:cstheme="minorHAnsi"/>
          <w:b/>
        </w:rPr>
      </w:pPr>
    </w:p>
    <w:p w:rsidR="002D3C56" w:rsidRPr="000F6ADF" w:rsidRDefault="002D3C56" w:rsidP="000F6ADF">
      <w:pPr>
        <w:rPr>
          <w:rFonts w:cstheme="minorHAnsi"/>
          <w:b/>
        </w:rPr>
      </w:pPr>
    </w:p>
    <w:p w:rsidR="00BF1104" w:rsidRDefault="00141CC0" w:rsidP="007617AF">
      <w:pPr>
        <w:pStyle w:val="Heading3"/>
        <w:numPr>
          <w:ilvl w:val="0"/>
          <w:numId w:val="14"/>
        </w:numPr>
        <w:spacing w:after="200"/>
        <w:ind w:left="357" w:hanging="357"/>
      </w:pPr>
      <w:r>
        <w:lastRenderedPageBreak/>
        <w:t xml:space="preserve">Review </w:t>
      </w:r>
      <w:r w:rsidR="0053199C">
        <w:t>Options</w:t>
      </w:r>
    </w:p>
    <w:p w:rsidR="001B001D" w:rsidRPr="00414500" w:rsidRDefault="00D31C29" w:rsidP="00414500">
      <w:pPr>
        <w:pStyle w:val="ListParagraph"/>
        <w:numPr>
          <w:ilvl w:val="1"/>
          <w:numId w:val="14"/>
        </w:numPr>
        <w:ind w:left="567" w:hanging="567"/>
        <w:contextualSpacing w:val="0"/>
        <w:rPr>
          <w:rFonts w:cstheme="minorHAnsi"/>
        </w:rPr>
      </w:pPr>
      <w:r w:rsidRPr="001B001D">
        <w:rPr>
          <w:rFonts w:cstheme="minorHAnsi"/>
        </w:rPr>
        <w:t xml:space="preserve">Three </w:t>
      </w:r>
      <w:r w:rsidRPr="000F6ADF">
        <w:rPr>
          <w:rFonts w:cstheme="minorHAnsi"/>
        </w:rPr>
        <w:t>broad</w:t>
      </w:r>
      <w:r w:rsidRPr="001B001D">
        <w:rPr>
          <w:rFonts w:cstheme="minorHAnsi"/>
        </w:rPr>
        <w:t xml:space="preserve"> options have</w:t>
      </w:r>
      <w:r w:rsidR="00414500">
        <w:rPr>
          <w:rFonts w:cstheme="minorHAnsi"/>
        </w:rPr>
        <w:t xml:space="preserve"> been considered for </w:t>
      </w:r>
      <w:r w:rsidR="00104DC7">
        <w:rPr>
          <w:rFonts w:cstheme="minorHAnsi"/>
        </w:rPr>
        <w:t xml:space="preserve">scheme </w:t>
      </w:r>
      <w:r w:rsidR="00414500">
        <w:rPr>
          <w:rFonts w:cstheme="minorHAnsi"/>
        </w:rPr>
        <w:t>review:</w:t>
      </w:r>
    </w:p>
    <w:p w:rsidR="001B001D" w:rsidRPr="000F6ADF" w:rsidRDefault="00D31C29" w:rsidP="000F6ADF">
      <w:pPr>
        <w:pStyle w:val="ListParagraph"/>
        <w:numPr>
          <w:ilvl w:val="2"/>
          <w:numId w:val="15"/>
        </w:numPr>
        <w:contextualSpacing w:val="0"/>
        <w:rPr>
          <w:rFonts w:cstheme="minorHAnsi"/>
        </w:rPr>
      </w:pPr>
      <w:r w:rsidRPr="001B001D">
        <w:rPr>
          <w:rFonts w:cstheme="minorHAnsi"/>
          <w:b/>
          <w:i/>
        </w:rPr>
        <w:t>Time-based</w:t>
      </w:r>
      <w:r w:rsidR="00FB465D">
        <w:rPr>
          <w:rFonts w:cstheme="minorHAnsi"/>
          <w:b/>
          <w:i/>
        </w:rPr>
        <w:t xml:space="preserve"> removal trigger</w:t>
      </w:r>
      <w:r>
        <w:rPr>
          <w:rFonts w:cstheme="minorHAnsi"/>
        </w:rPr>
        <w:t xml:space="preserve">: Explicit expiry date placed on the </w:t>
      </w:r>
      <w:r w:rsidR="00C070DF">
        <w:rPr>
          <w:rFonts w:cstheme="minorHAnsi"/>
        </w:rPr>
        <w:t>OLR mechanism,</w:t>
      </w:r>
      <w:r>
        <w:rPr>
          <w:rFonts w:cstheme="minorHAnsi"/>
        </w:rPr>
        <w:t xml:space="preserve"> with </w:t>
      </w:r>
      <w:r w:rsidR="00FB465D">
        <w:rPr>
          <w:rFonts w:cstheme="minorHAnsi"/>
        </w:rPr>
        <w:t xml:space="preserve">assurances </w:t>
      </w:r>
      <w:r>
        <w:rPr>
          <w:rFonts w:cstheme="minorHAnsi"/>
        </w:rPr>
        <w:t xml:space="preserve">that the scheme will be </w:t>
      </w:r>
      <w:r w:rsidR="00C070DF">
        <w:rPr>
          <w:rFonts w:cstheme="minorHAnsi"/>
        </w:rPr>
        <w:t xml:space="preserve">closed to new generators </w:t>
      </w:r>
      <w:r>
        <w:rPr>
          <w:rFonts w:cstheme="minorHAnsi"/>
        </w:rPr>
        <w:t>on this date but no sooner</w:t>
      </w:r>
      <w:r w:rsidR="00C070DF">
        <w:rPr>
          <w:rFonts w:cstheme="minorHAnsi"/>
        </w:rPr>
        <w:t>.</w:t>
      </w:r>
    </w:p>
    <w:p w:rsidR="00FB465D" w:rsidRPr="00FB465D" w:rsidRDefault="00D31C29" w:rsidP="000F6ADF">
      <w:pPr>
        <w:pStyle w:val="ListParagraph"/>
        <w:numPr>
          <w:ilvl w:val="2"/>
          <w:numId w:val="15"/>
        </w:numPr>
        <w:contextualSpacing w:val="0"/>
        <w:rPr>
          <w:rFonts w:cstheme="minorHAnsi"/>
        </w:rPr>
      </w:pPr>
      <w:r w:rsidRPr="001B001D">
        <w:rPr>
          <w:rFonts w:cstheme="minorHAnsi"/>
          <w:b/>
          <w:i/>
        </w:rPr>
        <w:t>Volume-based removal trigger</w:t>
      </w:r>
      <w:r>
        <w:rPr>
          <w:rFonts w:cstheme="minorHAnsi"/>
        </w:rPr>
        <w:t xml:space="preserve">: </w:t>
      </w:r>
      <w:r w:rsidR="001F4965">
        <w:rPr>
          <w:rFonts w:cstheme="minorHAnsi"/>
        </w:rPr>
        <w:t>Restrict</w:t>
      </w:r>
      <w:r w:rsidR="00141CC0">
        <w:rPr>
          <w:rFonts w:cstheme="minorHAnsi"/>
        </w:rPr>
        <w:t>ing</w:t>
      </w:r>
      <w:r w:rsidR="001F4965">
        <w:rPr>
          <w:rFonts w:cstheme="minorHAnsi"/>
        </w:rPr>
        <w:t xml:space="preserve"> the</w:t>
      </w:r>
      <w:r w:rsidR="00C070DF">
        <w:rPr>
          <w:rFonts w:cstheme="minorHAnsi"/>
        </w:rPr>
        <w:t xml:space="preserve"> OLR mechanism</w:t>
      </w:r>
      <w:r w:rsidR="001F4965">
        <w:rPr>
          <w:rFonts w:cstheme="minorHAnsi"/>
        </w:rPr>
        <w:t xml:space="preserve"> to a certain volume of </w:t>
      </w:r>
      <w:proofErr w:type="spellStart"/>
      <w:r w:rsidR="001F4965">
        <w:rPr>
          <w:rFonts w:cstheme="minorHAnsi"/>
        </w:rPr>
        <w:t>CfD</w:t>
      </w:r>
      <w:proofErr w:type="spellEnd"/>
      <w:r w:rsidR="001F4965">
        <w:rPr>
          <w:rFonts w:cstheme="minorHAnsi"/>
        </w:rPr>
        <w:t xml:space="preserve"> generation</w:t>
      </w:r>
      <w:r w:rsidR="00C070DF">
        <w:rPr>
          <w:rFonts w:cstheme="minorHAnsi"/>
        </w:rPr>
        <w:t>, with the scheme being closed to new generators once</w:t>
      </w:r>
      <w:r w:rsidR="001F4965">
        <w:rPr>
          <w:rFonts w:cstheme="minorHAnsi"/>
        </w:rPr>
        <w:t xml:space="preserve"> </w:t>
      </w:r>
      <w:r w:rsidR="00F56965">
        <w:rPr>
          <w:rFonts w:cstheme="minorHAnsi"/>
        </w:rPr>
        <w:t xml:space="preserve">the total capacity of </w:t>
      </w:r>
      <w:proofErr w:type="spellStart"/>
      <w:r w:rsidR="00F56965">
        <w:rPr>
          <w:rFonts w:cstheme="minorHAnsi"/>
        </w:rPr>
        <w:t>CfD</w:t>
      </w:r>
      <w:proofErr w:type="spellEnd"/>
      <w:r w:rsidR="00F56965">
        <w:rPr>
          <w:rFonts w:cstheme="minorHAnsi"/>
        </w:rPr>
        <w:t xml:space="preserve"> generators exceeds</w:t>
      </w:r>
      <w:r w:rsidR="00C070DF">
        <w:rPr>
          <w:rFonts w:cstheme="minorHAnsi"/>
        </w:rPr>
        <w:t xml:space="preserve"> the threshold</w:t>
      </w:r>
      <w:r w:rsidR="00F56965">
        <w:rPr>
          <w:rFonts w:cstheme="minorHAnsi"/>
        </w:rPr>
        <w:t>.</w:t>
      </w:r>
    </w:p>
    <w:p w:rsidR="00D31C29" w:rsidRPr="000F6ADF" w:rsidRDefault="00141CC0" w:rsidP="000F6ADF">
      <w:pPr>
        <w:pStyle w:val="ListParagraph"/>
        <w:numPr>
          <w:ilvl w:val="2"/>
          <w:numId w:val="15"/>
        </w:numPr>
        <w:contextualSpacing w:val="0"/>
        <w:rPr>
          <w:rFonts w:cstheme="minorHAnsi"/>
        </w:rPr>
      </w:pPr>
      <w:r>
        <w:rPr>
          <w:rFonts w:cstheme="minorHAnsi"/>
          <w:b/>
          <w:i/>
        </w:rPr>
        <w:t>Annual update</w:t>
      </w:r>
      <w:r w:rsidR="00FB465D">
        <w:rPr>
          <w:rFonts w:cstheme="minorHAnsi"/>
          <w:b/>
          <w:i/>
        </w:rPr>
        <w:t xml:space="preserve"> plus comprehensive review</w:t>
      </w:r>
      <w:r w:rsidR="00D31C29" w:rsidRPr="000F6ADF">
        <w:rPr>
          <w:rFonts w:cstheme="minorHAnsi"/>
        </w:rPr>
        <w:t xml:space="preserve">: </w:t>
      </w:r>
      <w:r w:rsidR="00FB465D">
        <w:rPr>
          <w:rFonts w:cstheme="minorHAnsi"/>
        </w:rPr>
        <w:t>Annual updates of the scheme to report on a number of market parameters. Under normal circumstances the scheme would not be changed at this point. A comprehensive review</w:t>
      </w:r>
      <w:r w:rsidR="00814A20">
        <w:rPr>
          <w:rFonts w:cstheme="minorHAnsi"/>
        </w:rPr>
        <w:t xml:space="preserve"> including consideration of whether the scheme should remain open to new generators</w:t>
      </w:r>
      <w:r w:rsidR="00FB465D">
        <w:rPr>
          <w:rFonts w:cstheme="minorHAnsi"/>
        </w:rPr>
        <w:t xml:space="preserve"> would take place in 2018</w:t>
      </w:r>
      <w:r w:rsidR="00C83361">
        <w:rPr>
          <w:rFonts w:cstheme="minorHAnsi"/>
        </w:rPr>
        <w:t>/19</w:t>
      </w:r>
      <w:r w:rsidR="00FB465D">
        <w:rPr>
          <w:rFonts w:cstheme="minorHAnsi"/>
        </w:rPr>
        <w:t xml:space="preserve"> to align with the end of the </w:t>
      </w:r>
      <w:r w:rsidR="00814A20">
        <w:rPr>
          <w:rFonts w:cstheme="minorHAnsi"/>
        </w:rPr>
        <w:t xml:space="preserve">first </w:t>
      </w:r>
      <w:r w:rsidR="00FB465D">
        <w:rPr>
          <w:rFonts w:cstheme="minorHAnsi"/>
        </w:rPr>
        <w:t>EMR delivery plan.</w:t>
      </w:r>
    </w:p>
    <w:p w:rsidR="0069200A" w:rsidRDefault="0034495A" w:rsidP="0069200A">
      <w:pPr>
        <w:pStyle w:val="Heading3"/>
        <w:numPr>
          <w:ilvl w:val="0"/>
          <w:numId w:val="14"/>
        </w:numPr>
        <w:spacing w:after="200"/>
        <w:ind w:left="357" w:hanging="357"/>
      </w:pPr>
      <w:r>
        <w:t>Options assessment</w:t>
      </w:r>
    </w:p>
    <w:p w:rsidR="0069200A" w:rsidRPr="0069200A" w:rsidRDefault="0069200A" w:rsidP="0069200A">
      <w:pPr>
        <w:rPr>
          <w:rFonts w:cstheme="minorHAnsi"/>
          <w:b/>
        </w:rPr>
      </w:pPr>
      <w:r w:rsidRPr="0069200A">
        <w:rPr>
          <w:rFonts w:cstheme="minorHAnsi"/>
          <w:b/>
        </w:rPr>
        <w:t>Table [</w:t>
      </w:r>
      <w:r>
        <w:rPr>
          <w:rFonts w:cstheme="minorHAnsi"/>
          <w:b/>
        </w:rPr>
        <w:t>1</w:t>
      </w:r>
      <w:r w:rsidRPr="0069200A">
        <w:rPr>
          <w:rFonts w:cstheme="minorHAnsi"/>
          <w:b/>
        </w:rPr>
        <w:t xml:space="preserve">]: </w:t>
      </w:r>
      <w:r>
        <w:rPr>
          <w:rFonts w:cstheme="minorHAnsi"/>
          <w:b/>
        </w:rPr>
        <w:t>Assessment of options against appraisal criteria</w:t>
      </w:r>
    </w:p>
    <w:tbl>
      <w:tblPr>
        <w:tblW w:w="0" w:type="auto"/>
        <w:tblInd w:w="108" w:type="dxa"/>
        <w:tblCellMar>
          <w:left w:w="0" w:type="dxa"/>
          <w:right w:w="0" w:type="dxa"/>
        </w:tblCellMar>
        <w:tblLook w:val="04A0" w:firstRow="1" w:lastRow="0" w:firstColumn="1" w:lastColumn="0" w:noHBand="0" w:noVBand="1"/>
      </w:tblPr>
      <w:tblGrid>
        <w:gridCol w:w="1843"/>
        <w:gridCol w:w="2362"/>
        <w:gridCol w:w="2363"/>
        <w:gridCol w:w="2363"/>
      </w:tblGrid>
      <w:tr w:rsidR="0034495A" w:rsidRPr="00811111" w:rsidTr="00D56451">
        <w:tc>
          <w:tcPr>
            <w:tcW w:w="1843"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hideMark/>
          </w:tcPr>
          <w:p w:rsidR="0034495A" w:rsidRPr="00811111" w:rsidRDefault="0034495A" w:rsidP="00403114">
            <w:pPr>
              <w:rPr>
                <w:b/>
                <w:bCs/>
                <w:color w:val="FFFFFF"/>
              </w:rPr>
            </w:pPr>
            <w:r w:rsidRPr="00811111">
              <w:rPr>
                <w:b/>
                <w:bCs/>
                <w:color w:val="FFFFFF"/>
              </w:rPr>
              <w:t>Criteria</w:t>
            </w:r>
          </w:p>
        </w:tc>
        <w:tc>
          <w:tcPr>
            <w:tcW w:w="2362" w:type="dxa"/>
            <w:tcBorders>
              <w:top w:val="single" w:sz="8" w:space="0" w:color="4F81BD"/>
              <w:left w:val="nil"/>
              <w:bottom w:val="single" w:sz="8" w:space="0" w:color="4F81BD"/>
              <w:right w:val="single" w:sz="8" w:space="0" w:color="4F81BD"/>
            </w:tcBorders>
            <w:shd w:val="clear" w:color="auto" w:fill="4F81BD"/>
          </w:tcPr>
          <w:p w:rsidR="0034495A" w:rsidRPr="00811111" w:rsidRDefault="0034495A" w:rsidP="00403114">
            <w:pPr>
              <w:jc w:val="center"/>
              <w:rPr>
                <w:b/>
                <w:bCs/>
                <w:color w:val="FFFFFF"/>
              </w:rPr>
            </w:pPr>
            <w:r>
              <w:rPr>
                <w:b/>
                <w:bCs/>
                <w:color w:val="FFFFFF"/>
              </w:rPr>
              <w:t>Time-based</w:t>
            </w:r>
          </w:p>
        </w:tc>
        <w:tc>
          <w:tcPr>
            <w:tcW w:w="2363" w:type="dxa"/>
            <w:tcBorders>
              <w:top w:val="single" w:sz="8" w:space="0" w:color="4F81BD"/>
              <w:left w:val="nil"/>
              <w:bottom w:val="single" w:sz="8" w:space="0" w:color="4F81BD"/>
              <w:right w:val="nil"/>
            </w:tcBorders>
            <w:shd w:val="clear" w:color="auto" w:fill="4F81BD"/>
          </w:tcPr>
          <w:p w:rsidR="0034495A" w:rsidRPr="00811111" w:rsidRDefault="0034495A" w:rsidP="00403114">
            <w:pPr>
              <w:jc w:val="center"/>
              <w:rPr>
                <w:b/>
                <w:bCs/>
                <w:color w:val="FFFFFF"/>
              </w:rPr>
            </w:pPr>
            <w:r>
              <w:rPr>
                <w:b/>
                <w:bCs/>
                <w:color w:val="FFFFFF"/>
              </w:rPr>
              <w:t>Volume-based</w:t>
            </w:r>
          </w:p>
        </w:tc>
        <w:tc>
          <w:tcPr>
            <w:tcW w:w="2363" w:type="dxa"/>
            <w:tcBorders>
              <w:top w:val="single" w:sz="8" w:space="0" w:color="4F81BD"/>
              <w:left w:val="nil"/>
              <w:bottom w:val="single" w:sz="8" w:space="0" w:color="4F81BD"/>
              <w:right w:val="single" w:sz="8" w:space="0" w:color="4F81BD"/>
            </w:tcBorders>
            <w:shd w:val="clear" w:color="auto" w:fill="4F81BD"/>
          </w:tcPr>
          <w:p w:rsidR="0034495A" w:rsidRPr="00811111" w:rsidRDefault="0034495A" w:rsidP="00403114">
            <w:pPr>
              <w:jc w:val="center"/>
              <w:rPr>
                <w:b/>
                <w:bCs/>
                <w:color w:val="FFFFFF"/>
              </w:rPr>
            </w:pPr>
            <w:proofErr w:type="spellStart"/>
            <w:r>
              <w:rPr>
                <w:b/>
                <w:bCs/>
                <w:color w:val="FFFFFF"/>
              </w:rPr>
              <w:t>Update+Review</w:t>
            </w:r>
            <w:proofErr w:type="spellEnd"/>
          </w:p>
        </w:tc>
      </w:tr>
      <w:tr w:rsidR="0034495A" w:rsidRPr="00811111" w:rsidTr="00D56451">
        <w:tc>
          <w:tcPr>
            <w:tcW w:w="1843"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34495A" w:rsidRPr="00811111" w:rsidRDefault="0034495A" w:rsidP="00403114">
            <w:pPr>
              <w:spacing w:after="0" w:line="240" w:lineRule="auto"/>
              <w:rPr>
                <w:rFonts w:eastAsia="Times New Roman" w:cs="Times New Roman"/>
                <w:b/>
                <w:bCs/>
                <w:color w:val="000000"/>
                <w:lang w:eastAsia="en-GB"/>
              </w:rPr>
            </w:pPr>
            <w:r w:rsidRPr="00811111">
              <w:rPr>
                <w:rFonts w:eastAsia="Times New Roman" w:cs="Times New Roman"/>
                <w:b/>
                <w:bCs/>
                <w:color w:val="000000"/>
                <w:lang w:eastAsia="en-GB"/>
              </w:rPr>
              <w:t>Availability of financeable routes to market for independents</w:t>
            </w:r>
          </w:p>
        </w:tc>
        <w:tc>
          <w:tcPr>
            <w:tcW w:w="2362" w:type="dxa"/>
            <w:tcBorders>
              <w:top w:val="nil"/>
              <w:left w:val="nil"/>
              <w:bottom w:val="single" w:sz="8" w:space="0" w:color="4F81BD"/>
              <w:right w:val="single" w:sz="8" w:space="0" w:color="4F81BD"/>
            </w:tcBorders>
            <w:shd w:val="clear" w:color="auto" w:fill="FF0000"/>
          </w:tcPr>
          <w:p w:rsidR="0034495A" w:rsidRPr="00811111" w:rsidRDefault="0034495A"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No guarantee failure will have been addressed</w:t>
            </w:r>
          </w:p>
        </w:tc>
        <w:tc>
          <w:tcPr>
            <w:tcW w:w="2363" w:type="dxa"/>
            <w:tcBorders>
              <w:top w:val="single" w:sz="8" w:space="0" w:color="4F81BD"/>
              <w:left w:val="nil"/>
              <w:bottom w:val="single" w:sz="8" w:space="0" w:color="4F81BD"/>
              <w:right w:val="nil"/>
            </w:tcBorders>
            <w:shd w:val="clear" w:color="auto" w:fill="FFFF00"/>
          </w:tcPr>
          <w:p w:rsidR="0034495A" w:rsidRPr="00811111" w:rsidRDefault="0034495A"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 xml:space="preserve">Only </w:t>
            </w:r>
            <w:r w:rsidR="00814A20">
              <w:rPr>
                <w:rFonts w:eastAsia="Times New Roman" w:cs="Times New Roman"/>
                <w:color w:val="000000"/>
                <w:lang w:eastAsia="en-GB"/>
              </w:rPr>
              <w:t>closed</w:t>
            </w:r>
            <w:r>
              <w:rPr>
                <w:rFonts w:eastAsia="Times New Roman" w:cs="Times New Roman"/>
                <w:color w:val="000000"/>
                <w:lang w:eastAsia="en-GB"/>
              </w:rPr>
              <w:t xml:space="preserve"> if renewables being built</w:t>
            </w:r>
            <w:r w:rsidR="00814A20">
              <w:rPr>
                <w:rFonts w:eastAsia="Times New Roman" w:cs="Times New Roman"/>
                <w:color w:val="000000"/>
                <w:lang w:eastAsia="en-GB"/>
              </w:rPr>
              <w:t>, but no assessment of whether market failure remains.</w:t>
            </w:r>
          </w:p>
        </w:tc>
        <w:tc>
          <w:tcPr>
            <w:tcW w:w="2363" w:type="dxa"/>
            <w:tcBorders>
              <w:top w:val="nil"/>
              <w:left w:val="nil"/>
              <w:bottom w:val="single" w:sz="8" w:space="0" w:color="4F81BD"/>
              <w:right w:val="single" w:sz="8" w:space="0" w:color="4F81BD"/>
            </w:tcBorders>
            <w:shd w:val="clear" w:color="auto" w:fill="00B050"/>
          </w:tcPr>
          <w:p w:rsidR="0034495A"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 xml:space="preserve">Will not be closed before </w:t>
            </w:r>
            <w:r w:rsidR="0034495A">
              <w:rPr>
                <w:rFonts w:eastAsia="Times New Roman" w:cs="Times New Roman"/>
                <w:color w:val="000000"/>
                <w:lang w:eastAsia="en-GB"/>
              </w:rPr>
              <w:t>2018</w:t>
            </w:r>
          </w:p>
          <w:p w:rsidR="0034495A" w:rsidRPr="00811111" w:rsidRDefault="00814A20" w:rsidP="00814A2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Scheme only closed if no longer required</w:t>
            </w:r>
          </w:p>
        </w:tc>
      </w:tr>
      <w:tr w:rsidR="0034495A" w:rsidRPr="00811111" w:rsidTr="00D56451">
        <w:tc>
          <w:tcPr>
            <w:tcW w:w="1843"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34495A" w:rsidRPr="00811111" w:rsidRDefault="0034495A"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Minimise system costs</w:t>
            </w:r>
          </w:p>
        </w:tc>
        <w:tc>
          <w:tcPr>
            <w:tcW w:w="2362" w:type="dxa"/>
            <w:tcBorders>
              <w:top w:val="nil"/>
              <w:left w:val="nil"/>
              <w:bottom w:val="single" w:sz="8" w:space="0" w:color="4F81BD"/>
              <w:right w:val="single" w:sz="8" w:space="0" w:color="4F81BD"/>
            </w:tcBorders>
            <w:shd w:val="clear" w:color="auto" w:fill="FF0000"/>
          </w:tcPr>
          <w:p w:rsidR="0034495A" w:rsidRPr="00D56451" w:rsidRDefault="00814A20" w:rsidP="00814A20">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ED7585">
              <w:rPr>
                <w:rFonts w:eastAsia="Times New Roman" w:cs="Times New Roman"/>
                <w:color w:val="000000"/>
                <w:lang w:eastAsia="en-GB"/>
              </w:rPr>
              <w:t xml:space="preserve">No flexibility to respond to </w:t>
            </w:r>
            <w:r w:rsidR="0034495A" w:rsidRPr="00ED7585">
              <w:rPr>
                <w:rFonts w:eastAsia="Times New Roman" w:cs="Times New Roman"/>
                <w:color w:val="000000"/>
                <w:lang w:eastAsia="en-GB"/>
              </w:rPr>
              <w:t>excessive costs</w:t>
            </w:r>
          </w:p>
        </w:tc>
        <w:tc>
          <w:tcPr>
            <w:tcW w:w="2363" w:type="dxa"/>
            <w:tcBorders>
              <w:top w:val="single" w:sz="8" w:space="0" w:color="4F81BD"/>
              <w:left w:val="nil"/>
              <w:bottom w:val="single" w:sz="8" w:space="0" w:color="4F81BD"/>
              <w:right w:val="nil"/>
            </w:tcBorders>
            <w:shd w:val="clear" w:color="auto" w:fill="FFFF00"/>
          </w:tcPr>
          <w:p w:rsidR="0034495A" w:rsidRDefault="0034495A"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Cannot respond if overly- generous</w:t>
            </w:r>
          </w:p>
          <w:p w:rsidR="00EF3A6E" w:rsidRPr="00811111" w:rsidRDefault="00EF3A6E"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Caps total exposure to customers</w:t>
            </w:r>
          </w:p>
        </w:tc>
        <w:tc>
          <w:tcPr>
            <w:tcW w:w="2363" w:type="dxa"/>
            <w:tcBorders>
              <w:top w:val="nil"/>
              <w:left w:val="nil"/>
              <w:bottom w:val="single" w:sz="8" w:space="0" w:color="4F81BD"/>
              <w:right w:val="single" w:sz="8" w:space="0" w:color="4F81BD"/>
            </w:tcBorders>
            <w:shd w:val="clear" w:color="auto" w:fill="00B050"/>
          </w:tcPr>
          <w:p w:rsidR="0034495A" w:rsidRPr="00811111" w:rsidRDefault="00814A20"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Flexibility to change on annual basis if required</w:t>
            </w:r>
          </w:p>
        </w:tc>
      </w:tr>
      <w:tr w:rsidR="0034495A" w:rsidRPr="00811111" w:rsidTr="00D56451">
        <w:tc>
          <w:tcPr>
            <w:tcW w:w="1843"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34495A" w:rsidRPr="00811111" w:rsidRDefault="0034495A"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 xml:space="preserve">Impact on suppliers </w:t>
            </w:r>
          </w:p>
        </w:tc>
        <w:tc>
          <w:tcPr>
            <w:tcW w:w="2362" w:type="dxa"/>
            <w:tcBorders>
              <w:top w:val="nil"/>
              <w:left w:val="nil"/>
              <w:bottom w:val="single" w:sz="8" w:space="0" w:color="4F81BD"/>
              <w:right w:val="single" w:sz="8" w:space="0" w:color="4F81BD"/>
            </w:tcBorders>
            <w:shd w:val="clear" w:color="auto" w:fill="00B050"/>
          </w:tcPr>
          <w:p w:rsidR="0034495A" w:rsidRPr="00811111" w:rsidRDefault="0034495A"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Highly predictable mechanism</w:t>
            </w:r>
          </w:p>
        </w:tc>
        <w:tc>
          <w:tcPr>
            <w:tcW w:w="2363" w:type="dxa"/>
            <w:tcBorders>
              <w:top w:val="nil"/>
              <w:left w:val="nil"/>
              <w:bottom w:val="single" w:sz="8" w:space="0" w:color="4F81BD"/>
              <w:right w:val="single" w:sz="8" w:space="0" w:color="4F81BD"/>
            </w:tcBorders>
            <w:shd w:val="clear" w:color="auto" w:fill="00B050"/>
          </w:tcPr>
          <w:p w:rsidR="0034495A" w:rsidRPr="00811111" w:rsidRDefault="0034495A"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Highly predictable mechanism</w:t>
            </w:r>
          </w:p>
        </w:tc>
        <w:tc>
          <w:tcPr>
            <w:tcW w:w="2363" w:type="dxa"/>
            <w:tcBorders>
              <w:top w:val="single" w:sz="8" w:space="0" w:color="4F81BD"/>
              <w:left w:val="single" w:sz="8" w:space="0" w:color="4F81BD"/>
              <w:bottom w:val="single" w:sz="8" w:space="0" w:color="4F81BD"/>
            </w:tcBorders>
            <w:shd w:val="clear" w:color="auto" w:fill="FFFF00"/>
          </w:tcPr>
          <w:p w:rsidR="0034495A" w:rsidRPr="00811111" w:rsidRDefault="00814A20"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Largely p</w:t>
            </w:r>
            <w:r w:rsidR="0034495A">
              <w:rPr>
                <w:rFonts w:eastAsia="Times New Roman" w:cs="Times New Roman"/>
                <w:color w:val="000000"/>
                <w:lang w:eastAsia="en-GB"/>
              </w:rPr>
              <w:t>redictable</w:t>
            </w:r>
            <w:r>
              <w:rPr>
                <w:rFonts w:eastAsia="Times New Roman" w:cs="Times New Roman"/>
                <w:color w:val="000000"/>
                <w:lang w:eastAsia="en-GB"/>
              </w:rPr>
              <w:t>, but potential for changes that could impact suppliers</w:t>
            </w:r>
          </w:p>
        </w:tc>
      </w:tr>
      <w:tr w:rsidR="00814A20" w:rsidRPr="00811111" w:rsidTr="00D56451">
        <w:tc>
          <w:tcPr>
            <w:tcW w:w="1843" w:type="dxa"/>
            <w:tcBorders>
              <w:top w:val="nil"/>
              <w:left w:val="single" w:sz="8" w:space="0" w:color="4F81BD"/>
              <w:bottom w:val="single" w:sz="8" w:space="0" w:color="4F81BD"/>
              <w:right w:val="single" w:sz="8" w:space="0" w:color="4F81BD"/>
            </w:tcBorders>
            <w:tcMar>
              <w:top w:w="0" w:type="dxa"/>
              <w:left w:w="108" w:type="dxa"/>
              <w:bottom w:w="0" w:type="dxa"/>
              <w:right w:w="108" w:type="dxa"/>
            </w:tcMar>
          </w:tcPr>
          <w:p w:rsidR="00814A20" w:rsidRPr="00811111" w:rsidRDefault="00814A20"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Potential for market distortions</w:t>
            </w:r>
          </w:p>
        </w:tc>
        <w:tc>
          <w:tcPr>
            <w:tcW w:w="2362" w:type="dxa"/>
            <w:tcBorders>
              <w:top w:val="nil"/>
              <w:left w:val="nil"/>
              <w:bottom w:val="single" w:sz="8" w:space="0" w:color="4F81BD"/>
              <w:right w:val="single" w:sz="8" w:space="0" w:color="4F81BD"/>
            </w:tcBorders>
            <w:shd w:val="clear" w:color="auto" w:fill="FF0000"/>
          </w:tcPr>
          <w:p w:rsidR="00814A20" w:rsidRPr="00D56451" w:rsidRDefault="00814A20"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ED7585">
              <w:rPr>
                <w:rFonts w:eastAsia="Times New Roman" w:cs="Times New Roman"/>
                <w:color w:val="000000"/>
                <w:lang w:eastAsia="en-GB"/>
              </w:rPr>
              <w:t xml:space="preserve">No </w:t>
            </w:r>
            <w:r w:rsidR="00F003D9" w:rsidRPr="00ED7585">
              <w:rPr>
                <w:rFonts w:eastAsia="Times New Roman" w:cs="Times New Roman"/>
                <w:color w:val="000000"/>
                <w:lang w:eastAsia="en-GB"/>
              </w:rPr>
              <w:t xml:space="preserve">flexibility </w:t>
            </w:r>
            <w:r w:rsidRPr="00ED7585">
              <w:rPr>
                <w:rFonts w:eastAsia="Times New Roman" w:cs="Times New Roman"/>
                <w:color w:val="000000"/>
                <w:lang w:eastAsia="en-GB"/>
              </w:rPr>
              <w:t xml:space="preserve">to change scheme </w:t>
            </w:r>
            <w:r w:rsidR="00F003D9" w:rsidRPr="00ED7585">
              <w:rPr>
                <w:rFonts w:eastAsia="Times New Roman" w:cs="Times New Roman"/>
                <w:color w:val="000000"/>
                <w:lang w:eastAsia="en-GB"/>
              </w:rPr>
              <w:t>to respond to market distortions</w:t>
            </w:r>
          </w:p>
        </w:tc>
        <w:tc>
          <w:tcPr>
            <w:tcW w:w="2363" w:type="dxa"/>
            <w:tcBorders>
              <w:top w:val="nil"/>
              <w:left w:val="nil"/>
              <w:bottom w:val="single" w:sz="8" w:space="0" w:color="4F81BD"/>
              <w:right w:val="nil"/>
            </w:tcBorders>
            <w:shd w:val="clear" w:color="auto" w:fill="FF0000"/>
          </w:tcPr>
          <w:p w:rsidR="00814A20" w:rsidRPr="00D56451" w:rsidRDefault="00F003D9"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ED7585">
              <w:rPr>
                <w:rFonts w:eastAsia="Times New Roman" w:cs="Times New Roman"/>
                <w:color w:val="000000"/>
                <w:lang w:eastAsia="en-GB"/>
              </w:rPr>
              <w:t>No flexibility to change scheme to respond to market distortions</w:t>
            </w:r>
          </w:p>
        </w:tc>
        <w:tc>
          <w:tcPr>
            <w:tcW w:w="2363" w:type="dxa"/>
            <w:tcBorders>
              <w:top w:val="nil"/>
              <w:left w:val="nil"/>
              <w:bottom w:val="single" w:sz="8" w:space="0" w:color="4F81BD"/>
              <w:right w:val="single" w:sz="8" w:space="0" w:color="4F81BD"/>
            </w:tcBorders>
            <w:shd w:val="clear" w:color="auto" w:fill="00B050"/>
          </w:tcPr>
          <w:p w:rsidR="00814A20"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Can adjust to realign with market</w:t>
            </w:r>
          </w:p>
          <w:p w:rsidR="00814A20" w:rsidRPr="00811111"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 xml:space="preserve">Review aligned with </w:t>
            </w:r>
            <w:proofErr w:type="spellStart"/>
            <w:r>
              <w:rPr>
                <w:rFonts w:eastAsia="Times New Roman" w:cs="Times New Roman"/>
                <w:color w:val="000000"/>
                <w:lang w:eastAsia="en-GB"/>
              </w:rPr>
              <w:t>CfD</w:t>
            </w:r>
            <w:proofErr w:type="spellEnd"/>
            <w:r>
              <w:rPr>
                <w:rFonts w:eastAsia="Times New Roman" w:cs="Times New Roman"/>
                <w:color w:val="000000"/>
                <w:lang w:eastAsia="en-GB"/>
              </w:rPr>
              <w:t xml:space="preserve"> Delivery Plan</w:t>
            </w:r>
          </w:p>
        </w:tc>
      </w:tr>
      <w:tr w:rsidR="00814A20" w:rsidRPr="00811111" w:rsidTr="00D56451">
        <w:trPr>
          <w:trHeight w:val="80"/>
        </w:trPr>
        <w:tc>
          <w:tcPr>
            <w:tcW w:w="1843"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814A20" w:rsidRPr="00811111" w:rsidRDefault="00814A20"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Practicality and cost of implementation and administration</w:t>
            </w:r>
          </w:p>
        </w:tc>
        <w:tc>
          <w:tcPr>
            <w:tcW w:w="2362" w:type="dxa"/>
            <w:tcBorders>
              <w:top w:val="single" w:sz="8" w:space="0" w:color="4F81BD"/>
              <w:left w:val="nil"/>
              <w:bottom w:val="single" w:sz="8" w:space="0" w:color="4F81BD"/>
              <w:right w:val="single" w:sz="8" w:space="0" w:color="4F81BD"/>
            </w:tcBorders>
            <w:shd w:val="clear" w:color="auto" w:fill="00B050"/>
          </w:tcPr>
          <w:p w:rsidR="00814A20" w:rsidRPr="00811111" w:rsidRDefault="00814A20"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Simple</w:t>
            </w:r>
            <w:r w:rsidR="00F003D9">
              <w:rPr>
                <w:rFonts w:eastAsia="Times New Roman" w:cs="Times New Roman"/>
                <w:color w:val="000000"/>
                <w:lang w:eastAsia="en-GB"/>
              </w:rPr>
              <w:t xml:space="preserve"> and certain process, minimal administrative complexity</w:t>
            </w:r>
          </w:p>
        </w:tc>
        <w:tc>
          <w:tcPr>
            <w:tcW w:w="2363" w:type="dxa"/>
            <w:tcBorders>
              <w:top w:val="single" w:sz="8" w:space="0" w:color="4F81BD"/>
              <w:left w:val="nil"/>
              <w:bottom w:val="single" w:sz="8" w:space="0" w:color="4F81BD"/>
              <w:right w:val="single" w:sz="8" w:space="0" w:color="4F81BD"/>
            </w:tcBorders>
            <w:shd w:val="clear" w:color="auto" w:fill="00B050"/>
          </w:tcPr>
          <w:p w:rsidR="00814A20" w:rsidRPr="00811111" w:rsidRDefault="00F003D9"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sidRPr="00F003D9">
              <w:rPr>
                <w:rFonts w:eastAsia="Times New Roman" w:cs="Times New Roman"/>
                <w:color w:val="000000"/>
                <w:lang w:eastAsia="en-GB"/>
              </w:rPr>
              <w:t>Simple and certain process, minimal administrative complexity</w:t>
            </w:r>
          </w:p>
        </w:tc>
        <w:tc>
          <w:tcPr>
            <w:tcW w:w="2363" w:type="dxa"/>
            <w:tcBorders>
              <w:top w:val="single" w:sz="8" w:space="0" w:color="4F81BD"/>
              <w:left w:val="single" w:sz="8" w:space="0" w:color="4F81BD"/>
              <w:bottom w:val="single" w:sz="8" w:space="0" w:color="4F81BD"/>
            </w:tcBorders>
            <w:shd w:val="clear" w:color="auto" w:fill="FFFF00"/>
          </w:tcPr>
          <w:p w:rsidR="00814A20" w:rsidRPr="00811111"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Some burden on participants, mitigated by aligning with existing reporting</w:t>
            </w:r>
          </w:p>
        </w:tc>
      </w:tr>
      <w:tr w:rsidR="00814A20" w:rsidRPr="00811111" w:rsidTr="00D56451">
        <w:trPr>
          <w:trHeight w:val="80"/>
        </w:trPr>
        <w:tc>
          <w:tcPr>
            <w:tcW w:w="1843"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rsidR="00814A20" w:rsidRPr="00811111" w:rsidRDefault="00814A20" w:rsidP="00403114">
            <w:pPr>
              <w:spacing w:after="0" w:line="240" w:lineRule="auto"/>
              <w:rPr>
                <w:rFonts w:eastAsia="Times New Roman" w:cs="Times New Roman"/>
                <w:b/>
                <w:color w:val="000000"/>
                <w:lang w:eastAsia="en-GB"/>
              </w:rPr>
            </w:pPr>
            <w:r w:rsidRPr="00811111">
              <w:rPr>
                <w:rFonts w:eastAsia="Times New Roman" w:cs="Times New Roman"/>
                <w:b/>
                <w:color w:val="000000"/>
                <w:lang w:eastAsia="en-GB"/>
              </w:rPr>
              <w:t>Legal risk and potential compliance cost</w:t>
            </w:r>
          </w:p>
        </w:tc>
        <w:tc>
          <w:tcPr>
            <w:tcW w:w="2362" w:type="dxa"/>
            <w:tcBorders>
              <w:top w:val="single" w:sz="8" w:space="0" w:color="4F81BD"/>
              <w:left w:val="nil"/>
              <w:bottom w:val="single" w:sz="8" w:space="0" w:color="4F81BD"/>
              <w:right w:val="single" w:sz="8" w:space="0" w:color="4F81BD"/>
            </w:tcBorders>
            <w:shd w:val="clear" w:color="auto" w:fill="FFFF00"/>
          </w:tcPr>
          <w:p w:rsidR="00814A20" w:rsidRPr="00811111" w:rsidRDefault="00814A20" w:rsidP="005942B0">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 xml:space="preserve">Low risk if not changed but JR possible if </w:t>
            </w:r>
            <w:r w:rsidR="00417BEC">
              <w:rPr>
                <w:rFonts w:eastAsia="Times New Roman" w:cs="Times New Roman"/>
                <w:color w:val="000000"/>
                <w:lang w:eastAsia="en-GB"/>
              </w:rPr>
              <w:t>change required</w:t>
            </w:r>
          </w:p>
        </w:tc>
        <w:tc>
          <w:tcPr>
            <w:tcW w:w="2363" w:type="dxa"/>
            <w:tcBorders>
              <w:top w:val="single" w:sz="8" w:space="0" w:color="4F81BD"/>
              <w:left w:val="nil"/>
              <w:bottom w:val="single" w:sz="8" w:space="0" w:color="4F81BD"/>
              <w:right w:val="nil"/>
            </w:tcBorders>
            <w:shd w:val="clear" w:color="auto" w:fill="FFFF00"/>
          </w:tcPr>
          <w:p w:rsidR="00814A20" w:rsidRPr="00811111"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 xml:space="preserve">Low risk if not changed but JR possible if </w:t>
            </w:r>
            <w:r w:rsidR="00417BEC" w:rsidRPr="00417BEC">
              <w:rPr>
                <w:rFonts w:eastAsia="Times New Roman" w:cs="Times New Roman"/>
                <w:color w:val="000000"/>
                <w:lang w:eastAsia="en-GB"/>
              </w:rPr>
              <w:t>change required</w:t>
            </w:r>
          </w:p>
        </w:tc>
        <w:tc>
          <w:tcPr>
            <w:tcW w:w="2363" w:type="dxa"/>
            <w:tcBorders>
              <w:top w:val="single" w:sz="8" w:space="0" w:color="4F81BD"/>
              <w:left w:val="nil"/>
              <w:bottom w:val="single" w:sz="8" w:space="0" w:color="4F81BD"/>
              <w:right w:val="single" w:sz="8" w:space="0" w:color="4F81BD"/>
            </w:tcBorders>
            <w:shd w:val="clear" w:color="auto" w:fill="00B050"/>
          </w:tcPr>
          <w:p w:rsidR="00814A20" w:rsidRPr="00811111" w:rsidRDefault="00814A20" w:rsidP="00403114">
            <w:pPr>
              <w:pStyle w:val="ListParagraph"/>
              <w:numPr>
                <w:ilvl w:val="0"/>
                <w:numId w:val="20"/>
              </w:numPr>
              <w:spacing w:after="0" w:line="240" w:lineRule="auto"/>
              <w:ind w:left="425" w:hanging="283"/>
              <w:contextualSpacing w:val="0"/>
              <w:rPr>
                <w:rFonts w:eastAsia="Times New Roman" w:cs="Times New Roman"/>
                <w:color w:val="000000"/>
                <w:lang w:eastAsia="en-GB"/>
              </w:rPr>
            </w:pPr>
            <w:r>
              <w:rPr>
                <w:rFonts w:eastAsia="Times New Roman" w:cs="Times New Roman"/>
                <w:color w:val="000000"/>
                <w:lang w:eastAsia="en-GB"/>
              </w:rPr>
              <w:t>Gives SoS discretion but lays out scope to provide transparency</w:t>
            </w:r>
          </w:p>
        </w:tc>
      </w:tr>
    </w:tbl>
    <w:p w:rsidR="0034495A" w:rsidRPr="006C4EC4" w:rsidRDefault="0034495A" w:rsidP="0034495A"/>
    <w:p w:rsidR="0069200A" w:rsidRDefault="0069200A" w:rsidP="0069200A">
      <w:pPr>
        <w:pStyle w:val="ListParagraph"/>
        <w:numPr>
          <w:ilvl w:val="1"/>
          <w:numId w:val="14"/>
        </w:numPr>
        <w:ind w:left="567" w:hanging="567"/>
        <w:contextualSpacing w:val="0"/>
        <w:rPr>
          <w:rFonts w:cstheme="minorHAnsi"/>
        </w:rPr>
      </w:pPr>
      <w:r>
        <w:rPr>
          <w:rFonts w:cstheme="minorHAnsi"/>
        </w:rPr>
        <w:t xml:space="preserve">As can be seen from Table [1], one concern with both the time- and the volume-based trigger is that they present a risk that the removal of the scheme </w:t>
      </w:r>
      <w:r>
        <w:t xml:space="preserve">would </w:t>
      </w:r>
      <w:r>
        <w:rPr>
          <w:rFonts w:cstheme="minorHAnsi"/>
        </w:rPr>
        <w:t>be poorly aligned with the market need:</w:t>
      </w:r>
    </w:p>
    <w:p w:rsidR="0069200A" w:rsidRDefault="00417BEC" w:rsidP="0069200A">
      <w:pPr>
        <w:pStyle w:val="ListParagraph"/>
        <w:numPr>
          <w:ilvl w:val="2"/>
          <w:numId w:val="22"/>
        </w:numPr>
        <w:contextualSpacing w:val="0"/>
        <w:rPr>
          <w:rFonts w:cstheme="minorHAnsi"/>
        </w:rPr>
      </w:pPr>
      <w:r>
        <w:rPr>
          <w:rFonts w:cstheme="minorHAnsi"/>
        </w:rPr>
        <w:t>The OLR mechanism</w:t>
      </w:r>
      <w:r w:rsidR="0069200A" w:rsidRPr="00CC7A5B">
        <w:rPr>
          <w:rFonts w:cstheme="minorHAnsi"/>
        </w:rPr>
        <w:t xml:space="preserve"> could be </w:t>
      </w:r>
      <w:r>
        <w:rPr>
          <w:rFonts w:cstheme="minorHAnsi"/>
        </w:rPr>
        <w:t>closed</w:t>
      </w:r>
      <w:r w:rsidR="0069200A" w:rsidRPr="00CC7A5B">
        <w:rPr>
          <w:rFonts w:cstheme="minorHAnsi"/>
        </w:rPr>
        <w:t xml:space="preserve"> too early, putting future developments at risk</w:t>
      </w:r>
      <w:r w:rsidR="0069200A">
        <w:rPr>
          <w:rFonts w:cstheme="minorHAnsi"/>
        </w:rPr>
        <w:t>.</w:t>
      </w:r>
    </w:p>
    <w:p w:rsidR="0069200A" w:rsidRDefault="00417BEC" w:rsidP="0069200A">
      <w:pPr>
        <w:pStyle w:val="ListParagraph"/>
        <w:numPr>
          <w:ilvl w:val="2"/>
          <w:numId w:val="22"/>
        </w:numPr>
        <w:contextualSpacing w:val="0"/>
        <w:rPr>
          <w:rFonts w:cstheme="minorHAnsi"/>
        </w:rPr>
      </w:pPr>
      <w:r>
        <w:rPr>
          <w:rFonts w:cstheme="minorHAnsi"/>
        </w:rPr>
        <w:t>The mechanism could be ineffective, with no option for changing it</w:t>
      </w:r>
      <w:r w:rsidR="0069200A" w:rsidRPr="00CC7A5B">
        <w:rPr>
          <w:rFonts w:cstheme="minorHAnsi"/>
        </w:rPr>
        <w:t>.</w:t>
      </w:r>
    </w:p>
    <w:p w:rsidR="0069200A" w:rsidRPr="00CC7A5B" w:rsidRDefault="00417BEC" w:rsidP="0069200A">
      <w:pPr>
        <w:pStyle w:val="ListParagraph"/>
        <w:numPr>
          <w:ilvl w:val="2"/>
          <w:numId w:val="22"/>
        </w:numPr>
        <w:contextualSpacing w:val="0"/>
        <w:rPr>
          <w:rFonts w:cstheme="minorHAnsi"/>
        </w:rPr>
      </w:pPr>
      <w:r>
        <w:rPr>
          <w:rFonts w:cstheme="minorHAnsi"/>
        </w:rPr>
        <w:t>The terms of backstop PPAs</w:t>
      </w:r>
      <w:r w:rsidR="0069200A">
        <w:rPr>
          <w:rFonts w:cstheme="minorHAnsi"/>
        </w:rPr>
        <w:t xml:space="preserve"> might be overly generous and poorly aligned with market offerings.</w:t>
      </w:r>
    </w:p>
    <w:p w:rsidR="0069200A" w:rsidRDefault="0069200A" w:rsidP="0069200A">
      <w:pPr>
        <w:pStyle w:val="ListParagraph"/>
        <w:numPr>
          <w:ilvl w:val="1"/>
          <w:numId w:val="14"/>
        </w:numPr>
        <w:ind w:left="567" w:hanging="567"/>
        <w:contextualSpacing w:val="0"/>
        <w:rPr>
          <w:rFonts w:cstheme="minorHAnsi"/>
        </w:rPr>
      </w:pPr>
      <w:r>
        <w:rPr>
          <w:rFonts w:cstheme="minorHAnsi"/>
        </w:rPr>
        <w:t>As such, t</w:t>
      </w:r>
      <w:r w:rsidRPr="00414500">
        <w:rPr>
          <w:rFonts w:cstheme="minorHAnsi"/>
        </w:rPr>
        <w:t xml:space="preserve">he </w:t>
      </w:r>
      <w:r>
        <w:rPr>
          <w:rFonts w:cstheme="minorHAnsi"/>
        </w:rPr>
        <w:t xml:space="preserve">preferred option would be for annual updates with limited scope, combined with </w:t>
      </w:r>
      <w:r w:rsidRPr="00414500">
        <w:rPr>
          <w:rFonts w:cstheme="minorHAnsi"/>
        </w:rPr>
        <w:t>less frequent, more comprehensive reviews.</w:t>
      </w:r>
    </w:p>
    <w:p w:rsidR="00414500" w:rsidRPr="00414500" w:rsidRDefault="00414500" w:rsidP="00414500">
      <w:pPr>
        <w:pStyle w:val="Heading3"/>
        <w:numPr>
          <w:ilvl w:val="0"/>
          <w:numId w:val="14"/>
        </w:numPr>
        <w:spacing w:after="200"/>
        <w:ind w:left="357" w:hanging="357"/>
      </w:pPr>
      <w:r w:rsidRPr="00414500">
        <w:t>Design choices</w:t>
      </w:r>
      <w:r w:rsidR="00F56965">
        <w:t xml:space="preserve"> for preferred option</w:t>
      </w:r>
    </w:p>
    <w:p w:rsidR="00FB465D" w:rsidRDefault="00611100" w:rsidP="00414500">
      <w:pPr>
        <w:pStyle w:val="ListParagraph"/>
        <w:numPr>
          <w:ilvl w:val="1"/>
          <w:numId w:val="14"/>
        </w:numPr>
        <w:ind w:left="567" w:hanging="567"/>
        <w:contextualSpacing w:val="0"/>
        <w:rPr>
          <w:rFonts w:cstheme="minorHAnsi"/>
        </w:rPr>
      </w:pPr>
      <w:r>
        <w:rPr>
          <w:rFonts w:cstheme="minorHAnsi"/>
        </w:rPr>
        <w:t xml:space="preserve">At the launch of the scheme, the intention will be to set out details of each aspect of the scheme (such as </w:t>
      </w:r>
      <w:r w:rsidR="00417BEC">
        <w:rPr>
          <w:rFonts w:cstheme="minorHAnsi"/>
        </w:rPr>
        <w:t xml:space="preserve">the </w:t>
      </w:r>
      <w:r>
        <w:rPr>
          <w:rFonts w:cstheme="minorHAnsi"/>
        </w:rPr>
        <w:t xml:space="preserve">discount </w:t>
      </w:r>
      <w:r w:rsidR="00417BEC">
        <w:rPr>
          <w:rFonts w:cstheme="minorHAnsi"/>
        </w:rPr>
        <w:t>and terms and conditions of backstop PPAs</w:t>
      </w:r>
      <w:r w:rsidR="00B41463">
        <w:rPr>
          <w:rFonts w:cstheme="minorHAnsi"/>
        </w:rPr>
        <w:t xml:space="preserve">) </w:t>
      </w:r>
      <w:r>
        <w:rPr>
          <w:rFonts w:cstheme="minorHAnsi"/>
        </w:rPr>
        <w:t>covering the period until the end of the EMR Delivery Plan (2018/19).</w:t>
      </w:r>
    </w:p>
    <w:p w:rsidR="00B343F5" w:rsidRDefault="00B343F5" w:rsidP="00414500">
      <w:pPr>
        <w:pStyle w:val="ListParagraph"/>
        <w:numPr>
          <w:ilvl w:val="1"/>
          <w:numId w:val="14"/>
        </w:numPr>
        <w:ind w:left="567" w:hanging="567"/>
        <w:contextualSpacing w:val="0"/>
        <w:rPr>
          <w:rFonts w:cstheme="minorHAnsi"/>
        </w:rPr>
      </w:pPr>
      <w:r w:rsidRPr="00B30BF3">
        <w:rPr>
          <w:rFonts w:cstheme="minorHAnsi"/>
        </w:rPr>
        <w:t xml:space="preserve">The performance of the scheme and its impact on the wider market will be assessed as part of the </w:t>
      </w:r>
      <w:r w:rsidRPr="00B30BF3">
        <w:rPr>
          <w:rFonts w:cstheme="minorHAnsi"/>
          <w:b/>
        </w:rPr>
        <w:t>annual updates</w:t>
      </w:r>
      <w:r w:rsidRPr="00B30BF3">
        <w:rPr>
          <w:rFonts w:cstheme="minorHAnsi"/>
        </w:rPr>
        <w:t xml:space="preserve"> </w:t>
      </w:r>
      <w:r w:rsidR="00417BEC">
        <w:rPr>
          <w:rFonts w:cstheme="minorHAnsi"/>
        </w:rPr>
        <w:t>t</w:t>
      </w:r>
      <w:r w:rsidRPr="00B30BF3">
        <w:rPr>
          <w:rFonts w:cstheme="minorHAnsi"/>
        </w:rPr>
        <w:t>o the EMR delivery plan.</w:t>
      </w:r>
    </w:p>
    <w:p w:rsidR="00611100" w:rsidRDefault="00B41463" w:rsidP="00414500">
      <w:pPr>
        <w:pStyle w:val="ListParagraph"/>
        <w:numPr>
          <w:ilvl w:val="1"/>
          <w:numId w:val="14"/>
        </w:numPr>
        <w:ind w:left="567" w:hanging="567"/>
        <w:contextualSpacing w:val="0"/>
        <w:rPr>
          <w:rFonts w:cstheme="minorHAnsi"/>
        </w:rPr>
      </w:pPr>
      <w:r>
        <w:rPr>
          <w:rFonts w:cstheme="minorHAnsi"/>
        </w:rPr>
        <w:t xml:space="preserve">The intention would be to leave the </w:t>
      </w:r>
      <w:r w:rsidR="00611100">
        <w:rPr>
          <w:rFonts w:cstheme="minorHAnsi"/>
        </w:rPr>
        <w:t xml:space="preserve">scheme </w:t>
      </w:r>
      <w:r>
        <w:rPr>
          <w:rFonts w:cstheme="minorHAnsi"/>
        </w:rPr>
        <w:t>unchanged until the end of this period. That said</w:t>
      </w:r>
      <w:proofErr w:type="gramStart"/>
      <w:r>
        <w:rPr>
          <w:rFonts w:cstheme="minorHAnsi"/>
        </w:rPr>
        <w:t>,</w:t>
      </w:r>
      <w:proofErr w:type="gramEnd"/>
      <w:r>
        <w:rPr>
          <w:rFonts w:cstheme="minorHAnsi"/>
        </w:rPr>
        <w:t xml:space="preserve"> </w:t>
      </w:r>
      <w:r w:rsidR="00C83361">
        <w:rPr>
          <w:rFonts w:cstheme="minorHAnsi"/>
        </w:rPr>
        <w:t>adjustments</w:t>
      </w:r>
      <w:r>
        <w:rPr>
          <w:rFonts w:cstheme="minorHAnsi"/>
        </w:rPr>
        <w:t xml:space="preserve"> could be made during this period if the Secretary of State deemed it necessary.</w:t>
      </w:r>
    </w:p>
    <w:p w:rsidR="00B41463" w:rsidRDefault="00B41463" w:rsidP="00414500">
      <w:pPr>
        <w:pStyle w:val="ListParagraph"/>
        <w:numPr>
          <w:ilvl w:val="1"/>
          <w:numId w:val="14"/>
        </w:numPr>
        <w:ind w:left="567" w:hanging="567"/>
        <w:contextualSpacing w:val="0"/>
        <w:rPr>
          <w:rFonts w:cstheme="minorHAnsi"/>
        </w:rPr>
      </w:pPr>
      <w:r>
        <w:rPr>
          <w:rFonts w:cstheme="minorHAnsi"/>
        </w:rPr>
        <w:t xml:space="preserve">At the end of the </w:t>
      </w:r>
      <w:r w:rsidR="00417BEC">
        <w:rPr>
          <w:rFonts w:cstheme="minorHAnsi"/>
        </w:rPr>
        <w:t xml:space="preserve">first </w:t>
      </w:r>
      <w:r>
        <w:rPr>
          <w:rFonts w:cstheme="minorHAnsi"/>
        </w:rPr>
        <w:t>EMR Delivery Plan</w:t>
      </w:r>
      <w:r w:rsidR="00417BEC">
        <w:rPr>
          <w:rFonts w:cstheme="minorHAnsi"/>
        </w:rPr>
        <w:t xml:space="preserve"> period</w:t>
      </w:r>
      <w:r>
        <w:rPr>
          <w:rFonts w:cstheme="minorHAnsi"/>
        </w:rPr>
        <w:t xml:space="preserve"> the intention would be to remove the scheme, although a </w:t>
      </w:r>
      <w:r w:rsidRPr="002B273A">
        <w:rPr>
          <w:rFonts w:cstheme="minorHAnsi"/>
          <w:b/>
        </w:rPr>
        <w:t>comprehensive review</w:t>
      </w:r>
      <w:r>
        <w:rPr>
          <w:rFonts w:cstheme="minorHAnsi"/>
        </w:rPr>
        <w:t xml:space="preserve"> would first take place. If at this point there is seen to be a continuing need for the scheme, it </w:t>
      </w:r>
      <w:r w:rsidR="002B273A">
        <w:rPr>
          <w:rFonts w:cstheme="minorHAnsi"/>
        </w:rPr>
        <w:t xml:space="preserve">could </w:t>
      </w:r>
      <w:r>
        <w:rPr>
          <w:rFonts w:cstheme="minorHAnsi"/>
        </w:rPr>
        <w:t xml:space="preserve">be kept in place, although perhaps </w:t>
      </w:r>
      <w:r w:rsidR="002B273A">
        <w:rPr>
          <w:rFonts w:cstheme="minorHAnsi"/>
        </w:rPr>
        <w:t>with a number of design or parameter changes.</w:t>
      </w:r>
    </w:p>
    <w:p w:rsidR="00B41463" w:rsidRPr="00B41463" w:rsidRDefault="00B41463" w:rsidP="00B41463">
      <w:pPr>
        <w:pStyle w:val="ListParagraph"/>
        <w:ind w:left="567"/>
        <w:contextualSpacing w:val="0"/>
        <w:rPr>
          <w:rFonts w:cstheme="minorHAnsi"/>
          <w:u w:val="single"/>
        </w:rPr>
      </w:pPr>
      <w:r w:rsidRPr="00B41463">
        <w:rPr>
          <w:rFonts w:cstheme="minorHAnsi"/>
          <w:u w:val="single"/>
        </w:rPr>
        <w:t>Annual Updates</w:t>
      </w:r>
    </w:p>
    <w:p w:rsidR="00B41463" w:rsidRDefault="00417BEC" w:rsidP="00414500">
      <w:pPr>
        <w:pStyle w:val="ListParagraph"/>
        <w:numPr>
          <w:ilvl w:val="1"/>
          <w:numId w:val="14"/>
        </w:numPr>
        <w:ind w:left="567" w:hanging="567"/>
        <w:contextualSpacing w:val="0"/>
        <w:rPr>
          <w:rFonts w:cstheme="minorHAnsi"/>
        </w:rPr>
      </w:pPr>
      <w:r>
        <w:rPr>
          <w:rFonts w:cstheme="minorHAnsi"/>
        </w:rPr>
        <w:t xml:space="preserve">DECC would report on </w:t>
      </w:r>
      <w:r w:rsidR="00B41463">
        <w:rPr>
          <w:rFonts w:cstheme="minorHAnsi"/>
        </w:rPr>
        <w:t xml:space="preserve">the </w:t>
      </w:r>
      <w:r>
        <w:rPr>
          <w:rFonts w:cstheme="minorHAnsi"/>
        </w:rPr>
        <w:t xml:space="preserve">performance </w:t>
      </w:r>
      <w:r w:rsidR="00B41463">
        <w:rPr>
          <w:rFonts w:cstheme="minorHAnsi"/>
        </w:rPr>
        <w:t>of the scheme itself and the wider PPA market</w:t>
      </w:r>
      <w:r>
        <w:rPr>
          <w:rFonts w:cstheme="minorHAnsi"/>
        </w:rPr>
        <w:t xml:space="preserve"> as part of the </w:t>
      </w:r>
      <w:r>
        <w:rPr>
          <w:rFonts w:cstheme="minorHAnsi"/>
          <w:b/>
        </w:rPr>
        <w:t xml:space="preserve">annual updates </w:t>
      </w:r>
      <w:r>
        <w:rPr>
          <w:rFonts w:cstheme="minorHAnsi"/>
        </w:rPr>
        <w:t>to the EMR delivery plan</w:t>
      </w:r>
      <w:r w:rsidR="00B41463">
        <w:rPr>
          <w:rFonts w:cstheme="minorHAnsi"/>
        </w:rPr>
        <w:t>.</w:t>
      </w:r>
    </w:p>
    <w:p w:rsidR="00C83361" w:rsidRDefault="00C83361" w:rsidP="00414500">
      <w:pPr>
        <w:pStyle w:val="ListParagraph"/>
        <w:numPr>
          <w:ilvl w:val="1"/>
          <w:numId w:val="14"/>
        </w:numPr>
        <w:ind w:left="567" w:hanging="567"/>
        <w:contextualSpacing w:val="0"/>
        <w:rPr>
          <w:rFonts w:cstheme="minorHAnsi"/>
        </w:rPr>
      </w:pPr>
      <w:r>
        <w:rPr>
          <w:rFonts w:cstheme="minorHAnsi"/>
        </w:rPr>
        <w:t xml:space="preserve">The update </w:t>
      </w:r>
      <w:r w:rsidR="00231589">
        <w:rPr>
          <w:rFonts w:cstheme="minorHAnsi"/>
        </w:rPr>
        <w:t xml:space="preserve">could report on a wide range of market </w:t>
      </w:r>
      <w:r>
        <w:rPr>
          <w:rFonts w:cstheme="minorHAnsi"/>
        </w:rPr>
        <w:t>information</w:t>
      </w:r>
      <w:r w:rsidR="00231589">
        <w:rPr>
          <w:rFonts w:cstheme="minorHAnsi"/>
        </w:rPr>
        <w:t>. Th</w:t>
      </w:r>
      <w:r w:rsidR="00417BEC">
        <w:rPr>
          <w:rFonts w:cstheme="minorHAnsi"/>
        </w:rPr>
        <w:t xml:space="preserve">is </w:t>
      </w:r>
      <w:r w:rsidR="00231589">
        <w:rPr>
          <w:rFonts w:cstheme="minorHAnsi"/>
        </w:rPr>
        <w:t>could include</w:t>
      </w:r>
      <w:r>
        <w:rPr>
          <w:rFonts w:cstheme="minorHAnsi"/>
        </w:rPr>
        <w:t>:</w:t>
      </w:r>
    </w:p>
    <w:p w:rsidR="00006CB2" w:rsidRDefault="00006CB2" w:rsidP="00EF3A6E">
      <w:pPr>
        <w:pStyle w:val="ListParagraph"/>
        <w:numPr>
          <w:ilvl w:val="2"/>
          <w:numId w:val="47"/>
        </w:numPr>
        <w:spacing w:after="120"/>
        <w:ind w:left="1225" w:hanging="505"/>
        <w:contextualSpacing w:val="0"/>
        <w:rPr>
          <w:rFonts w:cstheme="minorHAnsi"/>
        </w:rPr>
      </w:pPr>
      <w:r>
        <w:rPr>
          <w:rFonts w:cstheme="minorHAnsi"/>
        </w:rPr>
        <w:t xml:space="preserve">Volume of </w:t>
      </w:r>
      <w:proofErr w:type="spellStart"/>
      <w:r>
        <w:rPr>
          <w:rFonts w:cstheme="minorHAnsi"/>
        </w:rPr>
        <w:t>CfD</w:t>
      </w:r>
      <w:proofErr w:type="spellEnd"/>
      <w:r>
        <w:rPr>
          <w:rFonts w:cstheme="minorHAnsi"/>
        </w:rPr>
        <w:t xml:space="preserve"> generation brought forward by independent developers (i.e. developers without a significant supply base in the UK)</w:t>
      </w:r>
    </w:p>
    <w:p w:rsidR="00006CB2" w:rsidRPr="00C83361" w:rsidRDefault="00006CB2" w:rsidP="00006CB2">
      <w:pPr>
        <w:pStyle w:val="ListParagraph"/>
        <w:numPr>
          <w:ilvl w:val="2"/>
          <w:numId w:val="47"/>
        </w:numPr>
        <w:spacing w:after="120"/>
        <w:ind w:left="1225" w:hanging="505"/>
        <w:contextualSpacing w:val="0"/>
        <w:rPr>
          <w:rFonts w:cstheme="minorHAnsi"/>
        </w:rPr>
      </w:pPr>
      <w:r w:rsidRPr="00231589">
        <w:rPr>
          <w:rFonts w:cstheme="minorHAnsi"/>
        </w:rPr>
        <w:t xml:space="preserve">Volumes of </w:t>
      </w:r>
      <w:proofErr w:type="spellStart"/>
      <w:r w:rsidRPr="00231589">
        <w:rPr>
          <w:rFonts w:cstheme="minorHAnsi"/>
        </w:rPr>
        <w:t>CfD</w:t>
      </w:r>
      <w:proofErr w:type="spellEnd"/>
      <w:r w:rsidRPr="00231589">
        <w:rPr>
          <w:rFonts w:cstheme="minorHAnsi"/>
        </w:rPr>
        <w:t xml:space="preserve"> generation</w:t>
      </w:r>
      <w:r w:rsidRPr="00C83361">
        <w:rPr>
          <w:rFonts w:cstheme="minorHAnsi"/>
        </w:rPr>
        <w:t xml:space="preserve"> under PPAs at different tenors for both OLR-eligible and non-eligible plant</w:t>
      </w:r>
    </w:p>
    <w:p w:rsidR="00C83361" w:rsidRPr="00C83361" w:rsidRDefault="00C83361" w:rsidP="00EF3A6E">
      <w:pPr>
        <w:pStyle w:val="ListParagraph"/>
        <w:numPr>
          <w:ilvl w:val="2"/>
          <w:numId w:val="47"/>
        </w:numPr>
        <w:spacing w:after="120"/>
        <w:ind w:left="1225" w:hanging="505"/>
        <w:contextualSpacing w:val="0"/>
        <w:rPr>
          <w:rFonts w:cstheme="minorHAnsi"/>
        </w:rPr>
      </w:pPr>
      <w:r w:rsidRPr="00231589">
        <w:rPr>
          <w:rFonts w:cstheme="minorHAnsi"/>
        </w:rPr>
        <w:t>Average discounts</w:t>
      </w:r>
      <w:r w:rsidRPr="00C83361">
        <w:rPr>
          <w:rFonts w:cstheme="minorHAnsi"/>
        </w:rPr>
        <w:t xml:space="preserve"> </w:t>
      </w:r>
      <w:r>
        <w:rPr>
          <w:rFonts w:cstheme="minorHAnsi"/>
        </w:rPr>
        <w:t xml:space="preserve">seen in the market </w:t>
      </w:r>
      <w:r w:rsidRPr="00C83361">
        <w:rPr>
          <w:rFonts w:cstheme="minorHAnsi"/>
        </w:rPr>
        <w:t>for PPAs</w:t>
      </w:r>
      <w:r w:rsidR="00006CB2">
        <w:rPr>
          <w:rFonts w:cstheme="minorHAnsi"/>
        </w:rPr>
        <w:t xml:space="preserve"> of different tenors</w:t>
      </w:r>
      <w:r w:rsidRPr="00C83361">
        <w:rPr>
          <w:rFonts w:cstheme="minorHAnsi"/>
        </w:rPr>
        <w:t xml:space="preserve">, and </w:t>
      </w:r>
      <w:r w:rsidR="00417BEC">
        <w:rPr>
          <w:rFonts w:cstheme="minorHAnsi"/>
        </w:rPr>
        <w:t xml:space="preserve">key </w:t>
      </w:r>
      <w:r w:rsidRPr="00C83361">
        <w:rPr>
          <w:rFonts w:cstheme="minorHAnsi"/>
        </w:rPr>
        <w:t>Terms &amp; Conditions</w:t>
      </w:r>
    </w:p>
    <w:p w:rsidR="00C83361" w:rsidRPr="00C83361" w:rsidRDefault="00C83361" w:rsidP="00EF3A6E">
      <w:pPr>
        <w:pStyle w:val="ListParagraph"/>
        <w:numPr>
          <w:ilvl w:val="2"/>
          <w:numId w:val="47"/>
        </w:numPr>
        <w:spacing w:after="120"/>
        <w:ind w:left="1225" w:hanging="505"/>
        <w:contextualSpacing w:val="0"/>
        <w:rPr>
          <w:rFonts w:cstheme="minorHAnsi"/>
        </w:rPr>
      </w:pPr>
      <w:r w:rsidRPr="00231589">
        <w:rPr>
          <w:rFonts w:cstheme="minorHAnsi"/>
        </w:rPr>
        <w:t>Level of competition</w:t>
      </w:r>
      <w:r w:rsidRPr="00C83361">
        <w:rPr>
          <w:rFonts w:cstheme="minorHAnsi"/>
        </w:rPr>
        <w:t xml:space="preserve"> in the PPA market (</w:t>
      </w:r>
      <w:r w:rsidR="00AB0141">
        <w:rPr>
          <w:rFonts w:cstheme="minorHAnsi"/>
        </w:rPr>
        <w:t xml:space="preserve">for </w:t>
      </w:r>
      <w:r w:rsidRPr="00C83361">
        <w:rPr>
          <w:rFonts w:cstheme="minorHAnsi"/>
        </w:rPr>
        <w:t xml:space="preserve">all tenors) as measured by the diversity of </w:t>
      </w:r>
      <w:proofErr w:type="spellStart"/>
      <w:r w:rsidRPr="00C83361">
        <w:rPr>
          <w:rFonts w:cstheme="minorHAnsi"/>
        </w:rPr>
        <w:t>offtakers</w:t>
      </w:r>
      <w:proofErr w:type="spellEnd"/>
    </w:p>
    <w:p w:rsidR="00C83361" w:rsidRPr="00C83361" w:rsidRDefault="00C83361" w:rsidP="00EF3A6E">
      <w:pPr>
        <w:pStyle w:val="ListParagraph"/>
        <w:numPr>
          <w:ilvl w:val="2"/>
          <w:numId w:val="47"/>
        </w:numPr>
        <w:spacing w:after="120"/>
        <w:ind w:left="1225" w:hanging="505"/>
        <w:contextualSpacing w:val="0"/>
        <w:rPr>
          <w:rFonts w:cstheme="minorHAnsi"/>
        </w:rPr>
      </w:pPr>
      <w:r w:rsidRPr="00231589">
        <w:rPr>
          <w:rFonts w:cstheme="minorHAnsi"/>
        </w:rPr>
        <w:lastRenderedPageBreak/>
        <w:t>Financing strategy</w:t>
      </w:r>
      <w:r w:rsidRPr="00C83361">
        <w:rPr>
          <w:rFonts w:cstheme="minorHAnsi"/>
        </w:rPr>
        <w:t xml:space="preserve"> of </w:t>
      </w:r>
      <w:proofErr w:type="spellStart"/>
      <w:r w:rsidRPr="00C83361">
        <w:rPr>
          <w:rFonts w:cstheme="minorHAnsi"/>
        </w:rPr>
        <w:t>CfD</w:t>
      </w:r>
      <w:proofErr w:type="spellEnd"/>
      <w:r w:rsidRPr="00C83361">
        <w:rPr>
          <w:rFonts w:cstheme="minorHAnsi"/>
        </w:rPr>
        <w:t xml:space="preserve"> plant by PPA tenor and OLR eligibility</w:t>
      </w:r>
    </w:p>
    <w:p w:rsidR="00C83361" w:rsidRDefault="00C83361" w:rsidP="00EF3A6E">
      <w:pPr>
        <w:pStyle w:val="ListParagraph"/>
        <w:numPr>
          <w:ilvl w:val="2"/>
          <w:numId w:val="47"/>
        </w:numPr>
        <w:spacing w:after="120"/>
        <w:ind w:left="1225" w:hanging="505"/>
        <w:contextualSpacing w:val="0"/>
        <w:rPr>
          <w:rFonts w:cstheme="minorHAnsi"/>
        </w:rPr>
      </w:pPr>
      <w:r w:rsidRPr="00231589">
        <w:rPr>
          <w:rFonts w:cstheme="minorHAnsi"/>
        </w:rPr>
        <w:t>Size distribution</w:t>
      </w:r>
      <w:r w:rsidRPr="00C83361">
        <w:rPr>
          <w:rFonts w:cstheme="minorHAnsi"/>
        </w:rPr>
        <w:t xml:space="preserve"> of </w:t>
      </w:r>
      <w:proofErr w:type="spellStart"/>
      <w:r w:rsidRPr="00C83361">
        <w:rPr>
          <w:rFonts w:cstheme="minorHAnsi"/>
        </w:rPr>
        <w:t>CfD</w:t>
      </w:r>
      <w:proofErr w:type="spellEnd"/>
      <w:r w:rsidRPr="00C83361">
        <w:rPr>
          <w:rFonts w:cstheme="minorHAnsi"/>
        </w:rPr>
        <w:t xml:space="preserve"> projects with different PPA tenors and OLR eligibility</w:t>
      </w:r>
    </w:p>
    <w:p w:rsidR="00231589" w:rsidRPr="00231589" w:rsidRDefault="00231589" w:rsidP="00231589">
      <w:pPr>
        <w:pStyle w:val="ListParagraph"/>
        <w:numPr>
          <w:ilvl w:val="2"/>
          <w:numId w:val="47"/>
        </w:numPr>
        <w:contextualSpacing w:val="0"/>
        <w:rPr>
          <w:rFonts w:cstheme="minorHAnsi"/>
        </w:rPr>
      </w:pPr>
      <w:r w:rsidRPr="00231589">
        <w:rPr>
          <w:rFonts w:cstheme="minorHAnsi"/>
        </w:rPr>
        <w:t xml:space="preserve">Number of generators </w:t>
      </w:r>
      <w:r w:rsidR="00006CB2">
        <w:rPr>
          <w:rFonts w:cstheme="minorHAnsi"/>
        </w:rPr>
        <w:t xml:space="preserve">that have accessed </w:t>
      </w:r>
      <w:r w:rsidR="007B36C6">
        <w:rPr>
          <w:rFonts w:cstheme="minorHAnsi"/>
        </w:rPr>
        <w:t>b</w:t>
      </w:r>
      <w:r w:rsidRPr="00231589">
        <w:rPr>
          <w:rFonts w:cstheme="minorHAnsi"/>
        </w:rPr>
        <w:t>ackstop PPA</w:t>
      </w:r>
      <w:r w:rsidR="00006CB2">
        <w:rPr>
          <w:rFonts w:cstheme="minorHAnsi"/>
        </w:rPr>
        <w:t>s in the past year,</w:t>
      </w:r>
      <w:r>
        <w:rPr>
          <w:rFonts w:cstheme="minorHAnsi"/>
        </w:rPr>
        <w:t xml:space="preserve"> and their installed capacity</w:t>
      </w:r>
    </w:p>
    <w:p w:rsidR="00D058EB" w:rsidRDefault="00D058EB" w:rsidP="00D058EB">
      <w:pPr>
        <w:pStyle w:val="ListParagraph"/>
        <w:numPr>
          <w:ilvl w:val="1"/>
          <w:numId w:val="14"/>
        </w:numPr>
        <w:ind w:left="567" w:hanging="567"/>
        <w:contextualSpacing w:val="0"/>
        <w:rPr>
          <w:rFonts w:cstheme="minorHAnsi"/>
        </w:rPr>
      </w:pPr>
      <w:r w:rsidRPr="00D058EB">
        <w:rPr>
          <w:rFonts w:cstheme="minorHAnsi"/>
          <w:b/>
        </w:rPr>
        <w:t>Data availability</w:t>
      </w:r>
      <w:r>
        <w:rPr>
          <w:rFonts w:cstheme="minorHAnsi"/>
        </w:rPr>
        <w:t xml:space="preserve"> will be a consideration here. There are a number of possible sources:</w:t>
      </w:r>
    </w:p>
    <w:p w:rsidR="00006CB2" w:rsidRDefault="00006CB2" w:rsidP="00D058EB">
      <w:pPr>
        <w:pStyle w:val="ListParagraph"/>
        <w:numPr>
          <w:ilvl w:val="2"/>
          <w:numId w:val="48"/>
        </w:numPr>
        <w:contextualSpacing w:val="0"/>
        <w:rPr>
          <w:rFonts w:cstheme="minorHAnsi"/>
        </w:rPr>
      </w:pPr>
      <w:r>
        <w:rPr>
          <w:rFonts w:cstheme="minorHAnsi"/>
        </w:rPr>
        <w:t xml:space="preserve">The </w:t>
      </w:r>
      <w:proofErr w:type="spellStart"/>
      <w:r>
        <w:rPr>
          <w:rFonts w:cstheme="minorHAnsi"/>
        </w:rPr>
        <w:t>CfD</w:t>
      </w:r>
      <w:proofErr w:type="spellEnd"/>
      <w:r>
        <w:rPr>
          <w:rFonts w:cstheme="minorHAnsi"/>
        </w:rPr>
        <w:t xml:space="preserve"> counterparty body may be able to provide information on the identity of </w:t>
      </w:r>
      <w:proofErr w:type="spellStart"/>
      <w:r>
        <w:rPr>
          <w:rFonts w:cstheme="minorHAnsi"/>
        </w:rPr>
        <w:t>CfD</w:t>
      </w:r>
      <w:proofErr w:type="spellEnd"/>
      <w:r>
        <w:rPr>
          <w:rFonts w:cstheme="minorHAnsi"/>
        </w:rPr>
        <w:t>-holding generators. It might also be possible for the counterparty body to provide (</w:t>
      </w:r>
      <w:proofErr w:type="spellStart"/>
      <w:r>
        <w:rPr>
          <w:rFonts w:cstheme="minorHAnsi"/>
        </w:rPr>
        <w:t>anonymised</w:t>
      </w:r>
      <w:proofErr w:type="spellEnd"/>
      <w:r>
        <w:rPr>
          <w:rFonts w:cstheme="minorHAnsi"/>
        </w:rPr>
        <w:t xml:space="preserve">) information on generators’ </w:t>
      </w:r>
      <w:r w:rsidR="00B34629">
        <w:rPr>
          <w:rFonts w:cstheme="minorHAnsi"/>
        </w:rPr>
        <w:t>financing</w:t>
      </w:r>
      <w:r>
        <w:rPr>
          <w:rFonts w:cstheme="minorHAnsi"/>
        </w:rPr>
        <w:t xml:space="preserve"> structure and route to market if </w:t>
      </w:r>
      <w:r w:rsidR="00B34629">
        <w:rPr>
          <w:rFonts w:cstheme="minorHAnsi"/>
        </w:rPr>
        <w:t xml:space="preserve">this is required under terms of </w:t>
      </w:r>
      <w:proofErr w:type="spellStart"/>
      <w:r w:rsidR="00B34629">
        <w:rPr>
          <w:rFonts w:cstheme="minorHAnsi"/>
        </w:rPr>
        <w:t>CfDs</w:t>
      </w:r>
      <w:proofErr w:type="spellEnd"/>
      <w:r w:rsidR="00B34629">
        <w:rPr>
          <w:rFonts w:cstheme="minorHAnsi"/>
        </w:rPr>
        <w:t>.</w:t>
      </w:r>
    </w:p>
    <w:p w:rsidR="00D058EB" w:rsidRDefault="00D058EB" w:rsidP="00D058EB">
      <w:pPr>
        <w:pStyle w:val="ListParagraph"/>
        <w:numPr>
          <w:ilvl w:val="2"/>
          <w:numId w:val="48"/>
        </w:numPr>
        <w:contextualSpacing w:val="0"/>
        <w:rPr>
          <w:rFonts w:cstheme="minorHAnsi"/>
        </w:rPr>
      </w:pPr>
      <w:r w:rsidRPr="00D058EB">
        <w:rPr>
          <w:rFonts w:cstheme="minorHAnsi"/>
        </w:rPr>
        <w:t xml:space="preserve">PPAs </w:t>
      </w:r>
      <w:r w:rsidR="00B34629">
        <w:rPr>
          <w:rFonts w:cstheme="minorHAnsi"/>
        </w:rPr>
        <w:t xml:space="preserve">may </w:t>
      </w:r>
      <w:r w:rsidRPr="00D058EB">
        <w:rPr>
          <w:rFonts w:cstheme="minorHAnsi"/>
        </w:rPr>
        <w:t>fall within the terms of the EU REMIT regulations</w:t>
      </w:r>
      <w:r>
        <w:rPr>
          <w:rFonts w:cstheme="minorHAnsi"/>
        </w:rPr>
        <w:t xml:space="preserve">, in which case the discount and terms of these agreements would be available to </w:t>
      </w:r>
      <w:proofErr w:type="spellStart"/>
      <w:r>
        <w:rPr>
          <w:rFonts w:cstheme="minorHAnsi"/>
        </w:rPr>
        <w:t>Ofgem</w:t>
      </w:r>
      <w:proofErr w:type="spellEnd"/>
      <w:r w:rsidRPr="00D058EB">
        <w:rPr>
          <w:rFonts w:cstheme="minorHAnsi"/>
        </w:rPr>
        <w:t xml:space="preserve">. </w:t>
      </w:r>
      <w:r>
        <w:rPr>
          <w:rFonts w:cstheme="minorHAnsi"/>
        </w:rPr>
        <w:t xml:space="preserve">This information </w:t>
      </w:r>
      <w:r w:rsidRPr="00D058EB">
        <w:rPr>
          <w:rFonts w:cstheme="minorHAnsi"/>
        </w:rPr>
        <w:t>may need first t</w:t>
      </w:r>
      <w:r>
        <w:rPr>
          <w:rFonts w:cstheme="minorHAnsi"/>
        </w:rPr>
        <w:t xml:space="preserve">o be aggregated and </w:t>
      </w:r>
      <w:proofErr w:type="spellStart"/>
      <w:r>
        <w:rPr>
          <w:rFonts w:cstheme="minorHAnsi"/>
        </w:rPr>
        <w:t>anonymised</w:t>
      </w:r>
      <w:proofErr w:type="spellEnd"/>
      <w:r>
        <w:rPr>
          <w:rFonts w:cstheme="minorHAnsi"/>
        </w:rPr>
        <w:t>.</w:t>
      </w:r>
    </w:p>
    <w:p w:rsidR="00D058EB" w:rsidRDefault="00D058EB" w:rsidP="00D058EB">
      <w:pPr>
        <w:pStyle w:val="ListParagraph"/>
        <w:numPr>
          <w:ilvl w:val="2"/>
          <w:numId w:val="48"/>
        </w:numPr>
        <w:contextualSpacing w:val="0"/>
        <w:rPr>
          <w:rFonts w:cstheme="minorHAnsi"/>
        </w:rPr>
      </w:pPr>
      <w:r w:rsidRPr="00D058EB">
        <w:rPr>
          <w:rFonts w:cstheme="minorHAnsi"/>
        </w:rPr>
        <w:t xml:space="preserve">If PPAs are excluded from REMIT, </w:t>
      </w:r>
      <w:proofErr w:type="spellStart"/>
      <w:r w:rsidR="00B34629">
        <w:rPr>
          <w:rFonts w:cstheme="minorHAnsi"/>
        </w:rPr>
        <w:t>Ofgem</w:t>
      </w:r>
      <w:proofErr w:type="spellEnd"/>
      <w:r w:rsidR="00B34629">
        <w:rPr>
          <w:rFonts w:cstheme="minorHAnsi"/>
        </w:rPr>
        <w:t xml:space="preserve"> may be able to request this </w:t>
      </w:r>
      <w:r w:rsidRPr="00D058EB">
        <w:rPr>
          <w:rFonts w:cstheme="minorHAnsi"/>
        </w:rPr>
        <w:t xml:space="preserve">information using </w:t>
      </w:r>
      <w:r w:rsidR="00B34629">
        <w:rPr>
          <w:rFonts w:cstheme="minorHAnsi"/>
        </w:rPr>
        <w:t xml:space="preserve">its </w:t>
      </w:r>
      <w:r w:rsidRPr="00D058EB">
        <w:rPr>
          <w:rFonts w:cstheme="minorHAnsi"/>
        </w:rPr>
        <w:t>general monitoring powers under Part 1 of the Electricity Act 1989.</w:t>
      </w:r>
    </w:p>
    <w:p w:rsidR="00D058EB" w:rsidRPr="00D058EB" w:rsidRDefault="00B34629" w:rsidP="00D058EB">
      <w:pPr>
        <w:pStyle w:val="ListParagraph"/>
        <w:numPr>
          <w:ilvl w:val="2"/>
          <w:numId w:val="48"/>
        </w:numPr>
        <w:contextualSpacing w:val="0"/>
        <w:rPr>
          <w:rFonts w:cstheme="minorHAnsi"/>
        </w:rPr>
      </w:pPr>
      <w:r>
        <w:rPr>
          <w:rFonts w:cstheme="minorHAnsi"/>
        </w:rPr>
        <w:t>It could be possible to require generators to lodge d</w:t>
      </w:r>
      <w:r w:rsidR="00D058EB">
        <w:rPr>
          <w:rFonts w:cstheme="minorHAnsi"/>
        </w:rPr>
        <w:t xml:space="preserve">etails of </w:t>
      </w:r>
      <w:r>
        <w:rPr>
          <w:rFonts w:cstheme="minorHAnsi"/>
        </w:rPr>
        <w:t xml:space="preserve">their </w:t>
      </w:r>
      <w:r w:rsidR="00D058EB">
        <w:rPr>
          <w:rFonts w:cstheme="minorHAnsi"/>
        </w:rPr>
        <w:t xml:space="preserve">project financing structure </w:t>
      </w:r>
      <w:r>
        <w:rPr>
          <w:rFonts w:cstheme="minorHAnsi"/>
        </w:rPr>
        <w:t xml:space="preserve">and PPAs with </w:t>
      </w:r>
      <w:proofErr w:type="spellStart"/>
      <w:r>
        <w:rPr>
          <w:rFonts w:cstheme="minorHAnsi"/>
        </w:rPr>
        <w:t>Ofgem</w:t>
      </w:r>
      <w:proofErr w:type="spellEnd"/>
      <w:r>
        <w:rPr>
          <w:rFonts w:cstheme="minorHAnsi"/>
        </w:rPr>
        <w:t xml:space="preserve"> </w:t>
      </w:r>
      <w:r w:rsidR="00D058EB">
        <w:rPr>
          <w:rFonts w:cstheme="minorHAnsi"/>
        </w:rPr>
        <w:t xml:space="preserve">in order to </w:t>
      </w:r>
      <w:r>
        <w:rPr>
          <w:rFonts w:cstheme="minorHAnsi"/>
        </w:rPr>
        <w:t>be eligible for the OLR</w:t>
      </w:r>
      <w:r w:rsidR="00D058EB">
        <w:rPr>
          <w:rFonts w:cstheme="minorHAnsi"/>
        </w:rPr>
        <w:t>.</w:t>
      </w:r>
    </w:p>
    <w:p w:rsidR="00AB0141" w:rsidRDefault="00231589" w:rsidP="00B924E4">
      <w:pPr>
        <w:pStyle w:val="ListParagraph"/>
        <w:numPr>
          <w:ilvl w:val="1"/>
          <w:numId w:val="14"/>
        </w:numPr>
        <w:ind w:left="567" w:hanging="567"/>
        <w:contextualSpacing w:val="0"/>
        <w:rPr>
          <w:rFonts w:cstheme="minorHAnsi"/>
        </w:rPr>
      </w:pPr>
      <w:r w:rsidRPr="00231589">
        <w:rPr>
          <w:rFonts w:cstheme="minorHAnsi"/>
        </w:rPr>
        <w:t>Although the scheme would not, as a matter of course, be changed as part of these updates,</w:t>
      </w:r>
      <w:r w:rsidR="00AB0141">
        <w:rPr>
          <w:rFonts w:cstheme="minorHAnsi"/>
        </w:rPr>
        <w:t xml:space="preserve"> some alterations may be necessary.</w:t>
      </w:r>
      <w:r w:rsidR="00B34629">
        <w:rPr>
          <w:rFonts w:cstheme="minorHAnsi"/>
        </w:rPr>
        <w:t xml:space="preserve"> Table [2] sets out parameters that may and may not be open to change as part of the annual update process.</w:t>
      </w:r>
    </w:p>
    <w:p w:rsidR="0069200A" w:rsidRPr="0069200A" w:rsidRDefault="0069200A" w:rsidP="0069200A">
      <w:pPr>
        <w:rPr>
          <w:rFonts w:cstheme="minorHAnsi"/>
          <w:b/>
        </w:rPr>
      </w:pPr>
      <w:r>
        <w:rPr>
          <w:rFonts w:cstheme="minorHAnsi"/>
          <w:b/>
        </w:rPr>
        <w:t>Table [2]: Scope of Annual Updates</w:t>
      </w:r>
    </w:p>
    <w:tbl>
      <w:tblPr>
        <w:tblStyle w:val="LightList-Accent1"/>
        <w:tblW w:w="8959" w:type="dxa"/>
        <w:tblCellMar>
          <w:left w:w="28" w:type="dxa"/>
          <w:right w:w="28" w:type="dxa"/>
        </w:tblCellMar>
        <w:tblLook w:val="04A0" w:firstRow="1" w:lastRow="0" w:firstColumn="1" w:lastColumn="0" w:noHBand="0" w:noVBand="1"/>
      </w:tblPr>
      <w:tblGrid>
        <w:gridCol w:w="2580"/>
        <w:gridCol w:w="6379"/>
      </w:tblGrid>
      <w:tr w:rsidR="00AB0141" w:rsidRPr="00B924E4" w:rsidTr="00EF3A6E">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AB0141" w:rsidP="00B924E4">
            <w:pPr>
              <w:jc w:val="center"/>
              <w:rPr>
                <w:rFonts w:asciiTheme="minorHAnsi" w:hAnsiTheme="minorHAnsi" w:cstheme="minorHAnsi"/>
                <w:sz w:val="22"/>
                <w:szCs w:val="22"/>
              </w:rPr>
            </w:pPr>
            <w:r w:rsidRPr="00B924E4">
              <w:rPr>
                <w:rFonts w:asciiTheme="minorHAnsi" w:hAnsiTheme="minorHAnsi" w:cstheme="minorHAnsi"/>
                <w:sz w:val="22"/>
                <w:szCs w:val="22"/>
              </w:rPr>
              <w:t>What might change?</w:t>
            </w:r>
          </w:p>
        </w:tc>
        <w:tc>
          <w:tcPr>
            <w:tcW w:w="6379" w:type="dxa"/>
          </w:tcPr>
          <w:p w:rsidR="00AB0141" w:rsidRPr="00B924E4" w:rsidRDefault="00AB0141" w:rsidP="00B924E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E4">
              <w:rPr>
                <w:rFonts w:asciiTheme="minorHAnsi" w:hAnsiTheme="minorHAnsi" w:cstheme="minorHAnsi"/>
                <w:sz w:val="22"/>
                <w:szCs w:val="22"/>
              </w:rPr>
              <w:t>Why</w:t>
            </w:r>
            <w:r w:rsidR="00B924E4">
              <w:rPr>
                <w:rFonts w:asciiTheme="minorHAnsi" w:hAnsiTheme="minorHAnsi" w:cstheme="minorHAnsi"/>
                <w:sz w:val="22"/>
                <w:szCs w:val="22"/>
              </w:rPr>
              <w:t>?</w:t>
            </w:r>
          </w:p>
        </w:tc>
      </w:tr>
      <w:tr w:rsidR="00AB0141" w:rsidRPr="00B924E4" w:rsidTr="00B924E4">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AB0141" w:rsidP="00403114">
            <w:pPr>
              <w:pStyle w:val="ListParagraph"/>
              <w:numPr>
                <w:ilvl w:val="1"/>
                <w:numId w:val="21"/>
              </w:numPr>
              <w:spacing w:after="60"/>
              <w:ind w:left="426" w:hanging="284"/>
              <w:contextualSpacing w:val="0"/>
              <w:rPr>
                <w:rFonts w:asciiTheme="minorHAnsi" w:hAnsiTheme="minorHAnsi" w:cstheme="minorHAnsi"/>
                <w:b w:val="0"/>
                <w:sz w:val="22"/>
                <w:szCs w:val="22"/>
              </w:rPr>
            </w:pPr>
            <w:r w:rsidRPr="00B924E4">
              <w:rPr>
                <w:rFonts w:asciiTheme="minorHAnsi" w:eastAsiaTheme="minorHAnsi" w:hAnsiTheme="minorHAnsi" w:cstheme="minorBidi"/>
                <w:sz w:val="22"/>
                <w:szCs w:val="22"/>
                <w:lang w:val="en-GB"/>
              </w:rPr>
              <w:t xml:space="preserve">Increase the </w:t>
            </w:r>
            <w:proofErr w:type="spellStart"/>
            <w:r w:rsidR="00B34629">
              <w:rPr>
                <w:rFonts w:asciiTheme="minorHAnsi" w:eastAsiaTheme="minorHAnsi" w:hAnsiTheme="minorHAnsi" w:cstheme="minorBidi"/>
                <w:sz w:val="22"/>
                <w:szCs w:val="22"/>
                <w:lang w:val="en-GB"/>
              </w:rPr>
              <w:t>b</w:t>
            </w:r>
            <w:r w:rsidRPr="00B924E4">
              <w:rPr>
                <w:rFonts w:asciiTheme="minorHAnsi" w:eastAsiaTheme="minorHAnsi" w:hAnsiTheme="minorHAnsi" w:cstheme="minorBidi"/>
                <w:sz w:val="22"/>
                <w:szCs w:val="22"/>
                <w:lang w:val="en-GB"/>
              </w:rPr>
              <w:t>PPA</w:t>
            </w:r>
            <w:proofErr w:type="spellEnd"/>
            <w:r w:rsidRPr="00B924E4">
              <w:rPr>
                <w:rFonts w:asciiTheme="minorHAnsi" w:eastAsiaTheme="minorHAnsi" w:hAnsiTheme="minorHAnsi" w:cstheme="minorBidi"/>
                <w:sz w:val="22"/>
                <w:szCs w:val="22"/>
                <w:lang w:val="en-GB"/>
              </w:rPr>
              <w:t xml:space="preserve"> discount</w:t>
            </w:r>
          </w:p>
        </w:tc>
        <w:tc>
          <w:tcPr>
            <w:tcW w:w="6379" w:type="dxa"/>
          </w:tcPr>
          <w:p w:rsidR="00AB0141" w:rsidRPr="00B924E4" w:rsidRDefault="007B36C6" w:rsidP="007B36C6">
            <w:pPr>
              <w:pStyle w:val="ListParagraph"/>
              <w:numPr>
                <w:ilvl w:val="1"/>
                <w:numId w:val="21"/>
              </w:numPr>
              <w:ind w:left="44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Discounts in the open </w:t>
            </w:r>
            <w:r w:rsidR="00AB0141" w:rsidRPr="00B924E4">
              <w:rPr>
                <w:rFonts w:asciiTheme="minorHAnsi" w:hAnsiTheme="minorHAnsi"/>
                <w:sz w:val="22"/>
                <w:szCs w:val="22"/>
              </w:rPr>
              <w:t xml:space="preserve">PPA </w:t>
            </w:r>
            <w:r>
              <w:rPr>
                <w:rFonts w:asciiTheme="minorHAnsi" w:hAnsiTheme="minorHAnsi"/>
                <w:sz w:val="22"/>
                <w:szCs w:val="22"/>
              </w:rPr>
              <w:t xml:space="preserve">market </w:t>
            </w:r>
            <w:r w:rsidR="00AB0141" w:rsidRPr="00B924E4">
              <w:rPr>
                <w:rFonts w:asciiTheme="minorHAnsi" w:hAnsiTheme="minorHAnsi"/>
                <w:sz w:val="22"/>
                <w:szCs w:val="22"/>
              </w:rPr>
              <w:t xml:space="preserve">have increased considerably making </w:t>
            </w:r>
            <w:proofErr w:type="spellStart"/>
            <w:r w:rsidR="00B34629">
              <w:rPr>
                <w:rFonts w:asciiTheme="minorHAnsi" w:hAnsiTheme="minorHAnsi"/>
                <w:sz w:val="22"/>
                <w:szCs w:val="22"/>
              </w:rPr>
              <w:t>b</w:t>
            </w:r>
            <w:r w:rsidR="00AB0141" w:rsidRPr="00B924E4">
              <w:rPr>
                <w:rFonts w:asciiTheme="minorHAnsi" w:hAnsiTheme="minorHAnsi"/>
                <w:sz w:val="22"/>
                <w:szCs w:val="22"/>
              </w:rPr>
              <w:t>PPA</w:t>
            </w:r>
            <w:proofErr w:type="spellEnd"/>
            <w:r w:rsidR="00AB0141" w:rsidRPr="00B924E4">
              <w:rPr>
                <w:rFonts w:asciiTheme="minorHAnsi" w:hAnsiTheme="minorHAnsi"/>
                <w:sz w:val="22"/>
                <w:szCs w:val="22"/>
              </w:rPr>
              <w:t xml:space="preserve"> discount too </w:t>
            </w:r>
            <w:r w:rsidR="00AB0141" w:rsidRPr="00B924E4">
              <w:rPr>
                <w:rFonts w:asciiTheme="minorHAnsi" w:hAnsiTheme="minorHAnsi"/>
                <w:sz w:val="22"/>
                <w:szCs w:val="22"/>
                <w:lang w:val="en-GB"/>
              </w:rPr>
              <w:t>favourable</w:t>
            </w:r>
            <w:r w:rsidR="00AB0141" w:rsidRPr="00B924E4">
              <w:rPr>
                <w:rFonts w:asciiTheme="minorHAnsi" w:hAnsiTheme="minorHAnsi"/>
                <w:sz w:val="22"/>
                <w:szCs w:val="22"/>
              </w:rPr>
              <w:t xml:space="preserve"> to be a true “last resort” option</w:t>
            </w:r>
          </w:p>
        </w:tc>
      </w:tr>
      <w:tr w:rsidR="00AB0141" w:rsidRPr="00B924E4" w:rsidTr="00B924E4">
        <w:trPr>
          <w:trHeight w:val="704"/>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AB0141" w:rsidP="00403114">
            <w:pPr>
              <w:pStyle w:val="ListParagraph"/>
              <w:numPr>
                <w:ilvl w:val="1"/>
                <w:numId w:val="21"/>
              </w:numPr>
              <w:spacing w:after="60"/>
              <w:ind w:left="398" w:hanging="290"/>
              <w:contextualSpacing w:val="0"/>
              <w:rPr>
                <w:rFonts w:asciiTheme="minorHAnsi" w:hAnsiTheme="minorHAnsi" w:cstheme="minorHAnsi"/>
                <w:sz w:val="22"/>
                <w:szCs w:val="22"/>
              </w:rPr>
            </w:pPr>
            <w:r w:rsidRPr="00B924E4">
              <w:rPr>
                <w:rFonts w:asciiTheme="minorHAnsi" w:hAnsiTheme="minorHAnsi" w:cstheme="minorHAnsi"/>
                <w:sz w:val="22"/>
                <w:szCs w:val="22"/>
              </w:rPr>
              <w:t xml:space="preserve">Decrease the </w:t>
            </w:r>
            <w:proofErr w:type="spellStart"/>
            <w:r w:rsidR="00B34629">
              <w:rPr>
                <w:rFonts w:asciiTheme="minorHAnsi" w:hAnsiTheme="minorHAnsi" w:cstheme="minorHAnsi"/>
                <w:sz w:val="22"/>
                <w:szCs w:val="22"/>
              </w:rPr>
              <w:t>b</w:t>
            </w:r>
            <w:r w:rsidRPr="00B924E4">
              <w:rPr>
                <w:rFonts w:asciiTheme="minorHAnsi" w:hAnsiTheme="minorHAnsi" w:cstheme="minorHAnsi"/>
                <w:sz w:val="22"/>
                <w:szCs w:val="22"/>
              </w:rPr>
              <w:t>PPA</w:t>
            </w:r>
            <w:proofErr w:type="spellEnd"/>
            <w:r w:rsidRPr="00B924E4">
              <w:rPr>
                <w:rFonts w:asciiTheme="minorHAnsi" w:hAnsiTheme="minorHAnsi" w:cstheme="minorHAnsi"/>
                <w:sz w:val="22"/>
                <w:szCs w:val="22"/>
              </w:rPr>
              <w:t xml:space="preserve"> discount</w:t>
            </w:r>
          </w:p>
        </w:tc>
        <w:tc>
          <w:tcPr>
            <w:tcW w:w="6379" w:type="dxa"/>
          </w:tcPr>
          <w:p w:rsidR="00AB0141" w:rsidRPr="00B924E4" w:rsidRDefault="00AB0141" w:rsidP="007B36C6">
            <w:pPr>
              <w:pStyle w:val="ListParagraph"/>
              <w:numPr>
                <w:ilvl w:val="1"/>
                <w:numId w:val="21"/>
              </w:numPr>
              <w:spacing w:after="60"/>
              <w:ind w:left="403" w:hanging="290"/>
              <w:contextualSpacing w:val="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2"/>
                <w:szCs w:val="22"/>
                <w:lang w:val="en-GB"/>
              </w:rPr>
            </w:pPr>
            <w:r w:rsidRPr="00B924E4">
              <w:rPr>
                <w:rFonts w:asciiTheme="minorHAnsi" w:hAnsiTheme="minorHAnsi"/>
                <w:sz w:val="22"/>
                <w:szCs w:val="22"/>
              </w:rPr>
              <w:t xml:space="preserve">Developers </w:t>
            </w:r>
            <w:r w:rsidR="00B34629">
              <w:rPr>
                <w:rFonts w:asciiTheme="minorHAnsi" w:hAnsiTheme="minorHAnsi"/>
                <w:sz w:val="22"/>
                <w:szCs w:val="22"/>
              </w:rPr>
              <w:t xml:space="preserve">are </w:t>
            </w:r>
            <w:r w:rsidRPr="00B924E4">
              <w:rPr>
                <w:rFonts w:asciiTheme="minorHAnsi" w:hAnsiTheme="minorHAnsi"/>
                <w:sz w:val="22"/>
                <w:szCs w:val="22"/>
              </w:rPr>
              <w:t xml:space="preserve">failing to finance projects based on the </w:t>
            </w:r>
            <w:r w:rsidR="00A621A6">
              <w:rPr>
                <w:rFonts w:asciiTheme="minorHAnsi" w:hAnsiTheme="minorHAnsi"/>
                <w:sz w:val="22"/>
                <w:szCs w:val="22"/>
              </w:rPr>
              <w:t xml:space="preserve">combination of </w:t>
            </w:r>
            <w:r w:rsidRPr="00B924E4">
              <w:rPr>
                <w:rFonts w:asciiTheme="minorHAnsi" w:hAnsiTheme="minorHAnsi"/>
                <w:sz w:val="22"/>
                <w:szCs w:val="22"/>
              </w:rPr>
              <w:t xml:space="preserve">market PPAs </w:t>
            </w:r>
            <w:r w:rsidR="00A621A6">
              <w:rPr>
                <w:rFonts w:asciiTheme="minorHAnsi" w:hAnsiTheme="minorHAnsi"/>
                <w:sz w:val="22"/>
                <w:szCs w:val="22"/>
              </w:rPr>
              <w:t xml:space="preserve">and revenues under the </w:t>
            </w:r>
            <w:proofErr w:type="spellStart"/>
            <w:r w:rsidR="00A621A6">
              <w:rPr>
                <w:rFonts w:asciiTheme="minorHAnsi" w:hAnsiTheme="minorHAnsi"/>
                <w:sz w:val="22"/>
                <w:szCs w:val="22"/>
              </w:rPr>
              <w:t>bPPA</w:t>
            </w:r>
            <w:proofErr w:type="spellEnd"/>
            <w:r w:rsidRPr="00B924E4">
              <w:rPr>
                <w:rFonts w:asciiTheme="minorHAnsi" w:hAnsiTheme="minorHAnsi"/>
                <w:sz w:val="22"/>
                <w:szCs w:val="22"/>
              </w:rPr>
              <w:t xml:space="preserve">. The revenues under the </w:t>
            </w:r>
            <w:proofErr w:type="spellStart"/>
            <w:r w:rsidR="00B34629">
              <w:rPr>
                <w:rFonts w:asciiTheme="minorHAnsi" w:hAnsiTheme="minorHAnsi"/>
                <w:sz w:val="22"/>
                <w:szCs w:val="22"/>
              </w:rPr>
              <w:t>b</w:t>
            </w:r>
            <w:r w:rsidRPr="00B924E4">
              <w:rPr>
                <w:rFonts w:asciiTheme="minorHAnsi" w:hAnsiTheme="minorHAnsi"/>
                <w:sz w:val="22"/>
                <w:szCs w:val="22"/>
              </w:rPr>
              <w:t>PPA</w:t>
            </w:r>
            <w:proofErr w:type="spellEnd"/>
            <w:r w:rsidRPr="00B924E4">
              <w:rPr>
                <w:rFonts w:asciiTheme="minorHAnsi" w:hAnsiTheme="minorHAnsi"/>
                <w:sz w:val="22"/>
                <w:szCs w:val="22"/>
              </w:rPr>
              <w:t xml:space="preserve"> are too low for finance providers</w:t>
            </w:r>
            <w:r w:rsidR="00A621A6">
              <w:rPr>
                <w:rFonts w:asciiTheme="minorHAnsi" w:hAnsiTheme="minorHAnsi"/>
                <w:sz w:val="22"/>
                <w:szCs w:val="22"/>
              </w:rPr>
              <w:t>.</w:t>
            </w:r>
          </w:p>
        </w:tc>
      </w:tr>
      <w:tr w:rsidR="00AB0141" w:rsidRPr="00B924E4" w:rsidTr="00B924E4">
        <w:trPr>
          <w:cnfStyle w:val="000000100000" w:firstRow="0" w:lastRow="0" w:firstColumn="0" w:lastColumn="0" w:oddVBand="0" w:evenVBand="0" w:oddHBand="1"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AB0141" w:rsidP="00403114">
            <w:pPr>
              <w:pStyle w:val="ListParagraph"/>
              <w:numPr>
                <w:ilvl w:val="1"/>
                <w:numId w:val="21"/>
              </w:numPr>
              <w:spacing w:after="60"/>
              <w:ind w:left="398" w:hanging="290"/>
              <w:contextualSpacing w:val="0"/>
              <w:rPr>
                <w:rFonts w:asciiTheme="minorHAnsi" w:hAnsiTheme="minorHAnsi" w:cstheme="minorHAnsi"/>
                <w:sz w:val="22"/>
                <w:szCs w:val="22"/>
              </w:rPr>
            </w:pPr>
            <w:r w:rsidRPr="00B924E4">
              <w:rPr>
                <w:rFonts w:asciiTheme="minorHAnsi" w:hAnsiTheme="minorHAnsi" w:cstheme="minorHAnsi"/>
                <w:sz w:val="22"/>
                <w:szCs w:val="22"/>
              </w:rPr>
              <w:t xml:space="preserve">Change the </w:t>
            </w:r>
            <w:proofErr w:type="spellStart"/>
            <w:r w:rsidR="00B34629">
              <w:rPr>
                <w:rFonts w:asciiTheme="minorHAnsi" w:hAnsiTheme="minorHAnsi" w:cstheme="minorHAnsi"/>
                <w:sz w:val="22"/>
                <w:szCs w:val="22"/>
              </w:rPr>
              <w:t>b</w:t>
            </w:r>
            <w:r w:rsidRPr="00B924E4">
              <w:rPr>
                <w:rFonts w:asciiTheme="minorHAnsi" w:hAnsiTheme="minorHAnsi" w:cstheme="minorHAnsi"/>
                <w:sz w:val="22"/>
                <w:szCs w:val="22"/>
              </w:rPr>
              <w:t>PPA</w:t>
            </w:r>
            <w:proofErr w:type="spellEnd"/>
            <w:r w:rsidRPr="00B924E4">
              <w:rPr>
                <w:rFonts w:asciiTheme="minorHAnsi" w:hAnsiTheme="minorHAnsi" w:cstheme="minorHAnsi"/>
                <w:sz w:val="22"/>
                <w:szCs w:val="22"/>
              </w:rPr>
              <w:t xml:space="preserve"> terms</w:t>
            </w:r>
          </w:p>
        </w:tc>
        <w:tc>
          <w:tcPr>
            <w:tcW w:w="6379" w:type="dxa"/>
          </w:tcPr>
          <w:p w:rsidR="00AB0141" w:rsidRPr="00B924E4" w:rsidRDefault="00B924E4" w:rsidP="00A621A6">
            <w:pPr>
              <w:pStyle w:val="ListParagraph"/>
              <w:numPr>
                <w:ilvl w:val="1"/>
                <w:numId w:val="21"/>
              </w:numPr>
              <w:spacing w:after="60"/>
              <w:ind w:left="403" w:hanging="290"/>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B924E4">
              <w:rPr>
                <w:rFonts w:asciiTheme="minorHAnsi" w:hAnsiTheme="minorHAnsi"/>
                <w:sz w:val="22"/>
                <w:szCs w:val="22"/>
              </w:rPr>
              <w:t xml:space="preserve">Terms and Conditions offered in the PPA market have changed substantially, so the </w:t>
            </w:r>
            <w:proofErr w:type="spellStart"/>
            <w:r w:rsidR="00A621A6">
              <w:rPr>
                <w:rFonts w:asciiTheme="minorHAnsi" w:hAnsiTheme="minorHAnsi"/>
                <w:sz w:val="22"/>
                <w:szCs w:val="22"/>
              </w:rPr>
              <w:t>b</w:t>
            </w:r>
            <w:r w:rsidRPr="00B924E4">
              <w:rPr>
                <w:rFonts w:asciiTheme="minorHAnsi" w:hAnsiTheme="minorHAnsi"/>
                <w:sz w:val="22"/>
                <w:szCs w:val="22"/>
              </w:rPr>
              <w:t>PPA</w:t>
            </w:r>
            <w:proofErr w:type="spellEnd"/>
            <w:r w:rsidRPr="00B924E4">
              <w:rPr>
                <w:rFonts w:asciiTheme="minorHAnsi" w:hAnsiTheme="minorHAnsi"/>
                <w:sz w:val="22"/>
                <w:szCs w:val="22"/>
              </w:rPr>
              <w:t xml:space="preserve"> needs to be adapted to remain comparable</w:t>
            </w:r>
          </w:p>
        </w:tc>
      </w:tr>
      <w:tr w:rsidR="00AB0141" w:rsidRPr="00B924E4" w:rsidTr="00B924E4">
        <w:trPr>
          <w:trHeight w:val="67"/>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B924E4" w:rsidP="00403114">
            <w:pPr>
              <w:pStyle w:val="ListParagraph"/>
              <w:numPr>
                <w:ilvl w:val="1"/>
                <w:numId w:val="21"/>
              </w:numPr>
              <w:spacing w:after="60"/>
              <w:ind w:left="398" w:hanging="290"/>
              <w:contextualSpacing w:val="0"/>
              <w:rPr>
                <w:rFonts w:asciiTheme="minorHAnsi" w:hAnsiTheme="minorHAnsi" w:cstheme="minorHAnsi"/>
                <w:sz w:val="22"/>
                <w:szCs w:val="22"/>
              </w:rPr>
            </w:pPr>
            <w:r w:rsidRPr="00B924E4">
              <w:rPr>
                <w:rFonts w:asciiTheme="minorHAnsi" w:hAnsiTheme="minorHAnsi" w:cstheme="minorHAnsi"/>
                <w:sz w:val="22"/>
                <w:szCs w:val="22"/>
              </w:rPr>
              <w:t>Make additional technologies eligible</w:t>
            </w:r>
          </w:p>
        </w:tc>
        <w:tc>
          <w:tcPr>
            <w:tcW w:w="6379" w:type="dxa"/>
          </w:tcPr>
          <w:p w:rsidR="00AB0141" w:rsidRPr="00B924E4" w:rsidRDefault="00B924E4" w:rsidP="00B924E4">
            <w:pPr>
              <w:pStyle w:val="ListParagraph"/>
              <w:numPr>
                <w:ilvl w:val="1"/>
                <w:numId w:val="21"/>
              </w:numPr>
              <w:spacing w:after="60"/>
              <w:ind w:left="403" w:hanging="290"/>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Excluded technologies become commercially viable and can provide robust imbalance data</w:t>
            </w:r>
          </w:p>
        </w:tc>
      </w:tr>
      <w:tr w:rsidR="00AB0141" w:rsidRPr="00B924E4" w:rsidTr="00B924E4">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2580" w:type="dxa"/>
            <w:tcMar>
              <w:left w:w="28" w:type="dxa"/>
              <w:right w:w="28" w:type="dxa"/>
            </w:tcMar>
          </w:tcPr>
          <w:p w:rsidR="00AB0141" w:rsidRPr="00B924E4" w:rsidRDefault="00B924E4" w:rsidP="00B924E4">
            <w:pPr>
              <w:pStyle w:val="ListParagraph"/>
              <w:numPr>
                <w:ilvl w:val="1"/>
                <w:numId w:val="21"/>
              </w:numPr>
              <w:spacing w:after="60"/>
              <w:ind w:left="398" w:hanging="290"/>
              <w:contextualSpacing w:val="0"/>
              <w:rPr>
                <w:rFonts w:asciiTheme="minorHAnsi" w:hAnsiTheme="minorHAnsi" w:cstheme="minorHAnsi"/>
                <w:sz w:val="22"/>
                <w:szCs w:val="22"/>
              </w:rPr>
            </w:pPr>
            <w:r>
              <w:rPr>
                <w:rFonts w:asciiTheme="minorHAnsi" w:hAnsiTheme="minorHAnsi" w:cstheme="minorHAnsi"/>
                <w:sz w:val="22"/>
                <w:szCs w:val="22"/>
              </w:rPr>
              <w:t>Relax capacity-based eligibility constraint</w:t>
            </w:r>
          </w:p>
        </w:tc>
        <w:tc>
          <w:tcPr>
            <w:tcW w:w="6379" w:type="dxa"/>
          </w:tcPr>
          <w:p w:rsidR="00AB0141" w:rsidRPr="00B924E4" w:rsidRDefault="00B924E4" w:rsidP="00B924E4">
            <w:pPr>
              <w:pStyle w:val="ListParagraph"/>
              <w:numPr>
                <w:ilvl w:val="1"/>
                <w:numId w:val="21"/>
              </w:numPr>
              <w:spacing w:after="60"/>
              <w:ind w:left="403" w:hanging="290"/>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Assuming a MW cap is placed on projects, this may be relaxed if this is distorting the market. Alternatively, it may be possible to overcome the technical requirement for having a cap.</w:t>
            </w:r>
          </w:p>
        </w:tc>
      </w:tr>
      <w:tr w:rsidR="00B924E4" w:rsidRPr="00B924E4" w:rsidTr="00EF3A6E">
        <w:tblPrEx>
          <w:tblCellMar>
            <w:left w:w="108" w:type="dxa"/>
            <w:right w:w="108" w:type="dxa"/>
          </w:tblCellMar>
        </w:tblPrEx>
        <w:trPr>
          <w:trHeight w:val="361"/>
        </w:trPr>
        <w:tc>
          <w:tcPr>
            <w:cnfStyle w:val="001000000000" w:firstRow="0" w:lastRow="0" w:firstColumn="1" w:lastColumn="0" w:oddVBand="0" w:evenVBand="0" w:oddHBand="0" w:evenHBand="0" w:firstRowFirstColumn="0" w:firstRowLastColumn="0" w:lastRowFirstColumn="0" w:lastRowLastColumn="0"/>
            <w:tcW w:w="2580" w:type="dxa"/>
            <w:shd w:val="clear" w:color="auto" w:fill="C0504D" w:themeFill="accent2"/>
          </w:tcPr>
          <w:p w:rsidR="00B924E4" w:rsidRPr="00B924E4" w:rsidRDefault="00B924E4" w:rsidP="00B924E4">
            <w:pPr>
              <w:jc w:val="center"/>
              <w:rPr>
                <w:rFonts w:asciiTheme="minorHAnsi" w:hAnsiTheme="minorHAnsi" w:cstheme="minorHAnsi"/>
                <w:color w:val="FFFFFF" w:themeColor="background1"/>
                <w:sz w:val="22"/>
                <w:szCs w:val="22"/>
              </w:rPr>
            </w:pPr>
            <w:r w:rsidRPr="00B924E4">
              <w:rPr>
                <w:rFonts w:asciiTheme="minorHAnsi" w:hAnsiTheme="minorHAnsi" w:cstheme="minorHAnsi"/>
                <w:color w:val="FFFFFF" w:themeColor="background1"/>
                <w:sz w:val="22"/>
                <w:szCs w:val="22"/>
              </w:rPr>
              <w:t>What should not change?</w:t>
            </w:r>
          </w:p>
        </w:tc>
        <w:tc>
          <w:tcPr>
            <w:tcW w:w="6379" w:type="dxa"/>
            <w:shd w:val="clear" w:color="auto" w:fill="C0504D" w:themeFill="accent2"/>
          </w:tcPr>
          <w:p w:rsidR="00B924E4" w:rsidRPr="00B924E4" w:rsidRDefault="00B924E4" w:rsidP="0040311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22"/>
                <w:szCs w:val="22"/>
              </w:rPr>
            </w:pPr>
            <w:r w:rsidRPr="00B924E4">
              <w:rPr>
                <w:rFonts w:asciiTheme="minorHAnsi" w:hAnsiTheme="minorHAnsi" w:cstheme="minorHAnsi"/>
                <w:b/>
                <w:color w:val="FFFFFF" w:themeColor="background1"/>
                <w:sz w:val="22"/>
                <w:szCs w:val="22"/>
              </w:rPr>
              <w:t>Why?</w:t>
            </w:r>
          </w:p>
        </w:tc>
      </w:tr>
      <w:tr w:rsidR="00B924E4" w:rsidRPr="00B924E4" w:rsidTr="00B924E4">
        <w:tblPrEx>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2580" w:type="dxa"/>
          </w:tcPr>
          <w:p w:rsidR="00B924E4" w:rsidRPr="00BA2FC6" w:rsidRDefault="00BA2FC6" w:rsidP="00403114">
            <w:pPr>
              <w:pStyle w:val="ListParagraph"/>
              <w:numPr>
                <w:ilvl w:val="1"/>
                <w:numId w:val="21"/>
              </w:numPr>
              <w:spacing w:after="60"/>
              <w:ind w:left="426" w:hanging="284"/>
              <w:contextualSpacing w:val="0"/>
              <w:rPr>
                <w:rFonts w:asciiTheme="minorHAnsi" w:hAnsiTheme="minorHAnsi" w:cstheme="minorHAnsi"/>
                <w:sz w:val="22"/>
                <w:szCs w:val="22"/>
              </w:rPr>
            </w:pPr>
            <w:r w:rsidRPr="00BA2FC6">
              <w:rPr>
                <w:rFonts w:asciiTheme="minorHAnsi" w:hAnsiTheme="minorHAnsi" w:cstheme="minorHAnsi"/>
                <w:sz w:val="22"/>
                <w:szCs w:val="22"/>
              </w:rPr>
              <w:t>Allocation mechanism</w:t>
            </w:r>
          </w:p>
        </w:tc>
        <w:tc>
          <w:tcPr>
            <w:tcW w:w="6379" w:type="dxa"/>
          </w:tcPr>
          <w:p w:rsidR="00B924E4" w:rsidRPr="00B924E4" w:rsidRDefault="00D56451" w:rsidP="00403114">
            <w:pPr>
              <w:pStyle w:val="ListParagraph"/>
              <w:numPr>
                <w:ilvl w:val="1"/>
                <w:numId w:val="21"/>
              </w:numPr>
              <w:ind w:left="448"/>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Unless a b</w:t>
            </w:r>
            <w:r w:rsidR="00BA2FC6">
              <w:rPr>
                <w:rFonts w:asciiTheme="minorHAnsi" w:hAnsiTheme="minorHAnsi"/>
                <w:sz w:val="22"/>
                <w:szCs w:val="22"/>
              </w:rPr>
              <w:t>ackstop PPA is triggered it is unlikely to be necessary to review this</w:t>
            </w:r>
          </w:p>
        </w:tc>
      </w:tr>
      <w:tr w:rsidR="00B924E4" w:rsidRPr="00B924E4" w:rsidTr="00B924E4">
        <w:tblPrEx>
          <w:tblCellMar>
            <w:left w:w="108" w:type="dxa"/>
            <w:right w:w="108" w:type="dxa"/>
          </w:tblCellMar>
        </w:tblPrEx>
        <w:trPr>
          <w:trHeight w:val="704"/>
        </w:trPr>
        <w:tc>
          <w:tcPr>
            <w:cnfStyle w:val="001000000000" w:firstRow="0" w:lastRow="0" w:firstColumn="1" w:lastColumn="0" w:oddVBand="0" w:evenVBand="0" w:oddHBand="0" w:evenHBand="0" w:firstRowFirstColumn="0" w:firstRowLastColumn="0" w:lastRowFirstColumn="0" w:lastRowLastColumn="0"/>
            <w:tcW w:w="2580" w:type="dxa"/>
          </w:tcPr>
          <w:p w:rsidR="00B924E4" w:rsidRPr="00BA2FC6" w:rsidRDefault="00BA2FC6" w:rsidP="00403114">
            <w:pPr>
              <w:pStyle w:val="ListParagraph"/>
              <w:numPr>
                <w:ilvl w:val="1"/>
                <w:numId w:val="21"/>
              </w:numPr>
              <w:spacing w:after="60"/>
              <w:ind w:left="398" w:hanging="290"/>
              <w:contextualSpacing w:val="0"/>
              <w:rPr>
                <w:rFonts w:asciiTheme="minorHAnsi" w:hAnsiTheme="minorHAnsi" w:cstheme="minorHAnsi"/>
                <w:sz w:val="22"/>
                <w:szCs w:val="22"/>
              </w:rPr>
            </w:pPr>
            <w:proofErr w:type="spellStart"/>
            <w:r w:rsidRPr="00BA2FC6">
              <w:rPr>
                <w:rFonts w:asciiTheme="minorHAnsi" w:hAnsiTheme="minorHAnsi" w:cstheme="minorHAnsi"/>
                <w:sz w:val="22"/>
                <w:szCs w:val="22"/>
              </w:rPr>
              <w:lastRenderedPageBreak/>
              <w:t>Levelisation</w:t>
            </w:r>
            <w:proofErr w:type="spellEnd"/>
            <w:r w:rsidRPr="00BA2FC6">
              <w:rPr>
                <w:rFonts w:asciiTheme="minorHAnsi" w:hAnsiTheme="minorHAnsi" w:cstheme="minorHAnsi"/>
                <w:sz w:val="22"/>
                <w:szCs w:val="22"/>
              </w:rPr>
              <w:t xml:space="preserve"> formula</w:t>
            </w:r>
          </w:p>
        </w:tc>
        <w:tc>
          <w:tcPr>
            <w:tcW w:w="6379" w:type="dxa"/>
          </w:tcPr>
          <w:p w:rsidR="00B924E4" w:rsidRPr="00B924E4" w:rsidRDefault="00B343F5" w:rsidP="00B343F5">
            <w:pPr>
              <w:pStyle w:val="ListParagraph"/>
              <w:numPr>
                <w:ilvl w:val="1"/>
                <w:numId w:val="21"/>
              </w:numPr>
              <w:spacing w:after="60"/>
              <w:ind w:left="403" w:hanging="290"/>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It is not intended to change the process for assessing or </w:t>
            </w:r>
            <w:r w:rsidRPr="00B343F5">
              <w:rPr>
                <w:rFonts w:asciiTheme="minorHAnsi" w:hAnsiTheme="minorHAnsi"/>
                <w:sz w:val="22"/>
                <w:szCs w:val="22"/>
                <w:lang w:val="en-GB"/>
              </w:rPr>
              <w:t>socialising</w:t>
            </w:r>
            <w:r>
              <w:rPr>
                <w:rFonts w:asciiTheme="minorHAnsi" w:hAnsiTheme="minorHAnsi"/>
                <w:sz w:val="22"/>
                <w:szCs w:val="22"/>
              </w:rPr>
              <w:t xml:space="preserve"> costs unless there is a strong case to be made.</w:t>
            </w:r>
          </w:p>
        </w:tc>
      </w:tr>
      <w:tr w:rsidR="00B924E4" w:rsidRPr="00B924E4" w:rsidTr="00B924E4">
        <w:tblPrEx>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2580" w:type="dxa"/>
          </w:tcPr>
          <w:p w:rsidR="00B924E4" w:rsidRPr="00BA2FC6" w:rsidRDefault="00BA2FC6" w:rsidP="00403114">
            <w:pPr>
              <w:pStyle w:val="ListParagraph"/>
              <w:numPr>
                <w:ilvl w:val="1"/>
                <w:numId w:val="21"/>
              </w:numPr>
              <w:spacing w:after="60"/>
              <w:ind w:left="398" w:hanging="290"/>
              <w:contextualSpacing w:val="0"/>
              <w:rPr>
                <w:rFonts w:asciiTheme="minorHAnsi" w:hAnsiTheme="minorHAnsi" w:cstheme="minorHAnsi"/>
                <w:sz w:val="22"/>
                <w:szCs w:val="22"/>
              </w:rPr>
            </w:pPr>
            <w:r w:rsidRPr="00BA2FC6">
              <w:rPr>
                <w:rFonts w:asciiTheme="minorHAnsi" w:hAnsiTheme="minorHAnsi" w:cstheme="minorHAnsi"/>
                <w:sz w:val="22"/>
                <w:szCs w:val="22"/>
              </w:rPr>
              <w:t>Removing generators</w:t>
            </w:r>
          </w:p>
        </w:tc>
        <w:tc>
          <w:tcPr>
            <w:tcW w:w="6379" w:type="dxa"/>
          </w:tcPr>
          <w:p w:rsidR="00B924E4" w:rsidRPr="00B924E4" w:rsidRDefault="00BA2FC6" w:rsidP="00C11EAE">
            <w:pPr>
              <w:pStyle w:val="ListParagraph"/>
              <w:numPr>
                <w:ilvl w:val="1"/>
                <w:numId w:val="21"/>
              </w:numPr>
              <w:spacing w:after="60"/>
              <w:ind w:left="403" w:hanging="290"/>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In order to provide for</w:t>
            </w:r>
            <w:r w:rsidR="00A621A6">
              <w:rPr>
                <w:rFonts w:asciiTheme="minorHAnsi" w:hAnsiTheme="minorHAnsi"/>
                <w:sz w:val="22"/>
                <w:szCs w:val="22"/>
              </w:rPr>
              <w:t>e</w:t>
            </w:r>
            <w:r>
              <w:rPr>
                <w:rFonts w:asciiTheme="minorHAnsi" w:hAnsiTheme="minorHAnsi"/>
                <w:sz w:val="22"/>
                <w:szCs w:val="22"/>
              </w:rPr>
              <w:t>sight for market participants, it is not intended to exclude technologies that had previously been eligible</w:t>
            </w:r>
            <w:r w:rsidR="00C11EAE">
              <w:rPr>
                <w:rFonts w:asciiTheme="minorHAnsi" w:hAnsiTheme="minorHAnsi"/>
                <w:sz w:val="22"/>
                <w:szCs w:val="22"/>
              </w:rPr>
              <w:t xml:space="preserve"> in the annual update process</w:t>
            </w:r>
          </w:p>
        </w:tc>
      </w:tr>
      <w:tr w:rsidR="00B924E4" w:rsidRPr="00B924E4" w:rsidTr="00B924E4">
        <w:tblPrEx>
          <w:tblCellMar>
            <w:left w:w="108" w:type="dxa"/>
            <w:right w:w="108" w:type="dxa"/>
          </w:tblCellMar>
        </w:tblPrEx>
        <w:trPr>
          <w:trHeight w:val="67"/>
        </w:trPr>
        <w:tc>
          <w:tcPr>
            <w:cnfStyle w:val="001000000000" w:firstRow="0" w:lastRow="0" w:firstColumn="1" w:lastColumn="0" w:oddVBand="0" w:evenVBand="0" w:oddHBand="0" w:evenHBand="0" w:firstRowFirstColumn="0" w:firstRowLastColumn="0" w:lastRowFirstColumn="0" w:lastRowLastColumn="0"/>
            <w:tcW w:w="2580" w:type="dxa"/>
          </w:tcPr>
          <w:p w:rsidR="00B924E4" w:rsidRPr="00BA2FC6" w:rsidRDefault="00BA2FC6" w:rsidP="00403114">
            <w:pPr>
              <w:pStyle w:val="ListParagraph"/>
              <w:numPr>
                <w:ilvl w:val="1"/>
                <w:numId w:val="21"/>
              </w:numPr>
              <w:spacing w:after="60"/>
              <w:ind w:left="398" w:hanging="290"/>
              <w:contextualSpacing w:val="0"/>
              <w:rPr>
                <w:rFonts w:asciiTheme="minorHAnsi" w:hAnsiTheme="minorHAnsi" w:cstheme="minorHAnsi"/>
                <w:sz w:val="22"/>
                <w:szCs w:val="22"/>
              </w:rPr>
            </w:pPr>
            <w:r>
              <w:rPr>
                <w:rFonts w:asciiTheme="minorHAnsi" w:hAnsiTheme="minorHAnsi" w:cstheme="minorHAnsi"/>
                <w:sz w:val="22"/>
                <w:szCs w:val="22"/>
              </w:rPr>
              <w:t>Reducing MW cap</w:t>
            </w:r>
          </w:p>
        </w:tc>
        <w:tc>
          <w:tcPr>
            <w:tcW w:w="6379" w:type="dxa"/>
          </w:tcPr>
          <w:p w:rsidR="00B924E4" w:rsidRPr="00B924E4" w:rsidRDefault="00BA2FC6" w:rsidP="00BA2FC6">
            <w:pPr>
              <w:pStyle w:val="ListParagraph"/>
              <w:numPr>
                <w:ilvl w:val="1"/>
                <w:numId w:val="21"/>
              </w:numPr>
              <w:spacing w:after="60"/>
              <w:ind w:left="403" w:hanging="290"/>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Again, to provide certainty this cap should not be reduced unless there is a clear need to do so (e.g. severe supplier impact)</w:t>
            </w:r>
          </w:p>
        </w:tc>
      </w:tr>
      <w:tr w:rsidR="00B924E4" w:rsidRPr="00B924E4" w:rsidTr="00B924E4">
        <w:tblPrEx>
          <w:tblCellMar>
            <w:left w:w="108" w:type="dxa"/>
            <w:right w:w="108" w:type="dxa"/>
          </w:tblCellMar>
        </w:tblPrEx>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2580" w:type="dxa"/>
          </w:tcPr>
          <w:p w:rsidR="00B924E4" w:rsidRPr="00BA2FC6" w:rsidRDefault="00BA2FC6" w:rsidP="00403114">
            <w:pPr>
              <w:pStyle w:val="ListParagraph"/>
              <w:numPr>
                <w:ilvl w:val="1"/>
                <w:numId w:val="21"/>
              </w:numPr>
              <w:spacing w:after="60"/>
              <w:ind w:left="398" w:hanging="290"/>
              <w:contextualSpacing w:val="0"/>
              <w:rPr>
                <w:rFonts w:asciiTheme="minorHAnsi" w:hAnsiTheme="minorHAnsi" w:cstheme="minorHAnsi"/>
                <w:sz w:val="22"/>
                <w:szCs w:val="22"/>
              </w:rPr>
            </w:pPr>
            <w:r>
              <w:rPr>
                <w:rFonts w:asciiTheme="minorHAnsi" w:hAnsiTheme="minorHAnsi" w:cstheme="minorHAnsi"/>
                <w:sz w:val="22"/>
                <w:szCs w:val="22"/>
              </w:rPr>
              <w:t>Scheme removal</w:t>
            </w:r>
          </w:p>
        </w:tc>
        <w:tc>
          <w:tcPr>
            <w:tcW w:w="6379" w:type="dxa"/>
          </w:tcPr>
          <w:p w:rsidR="00B924E4" w:rsidRPr="00B924E4" w:rsidRDefault="00BA2FC6" w:rsidP="00C11EAE">
            <w:pPr>
              <w:pStyle w:val="ListParagraph"/>
              <w:numPr>
                <w:ilvl w:val="1"/>
                <w:numId w:val="21"/>
              </w:numPr>
              <w:spacing w:after="60"/>
              <w:ind w:left="403" w:hanging="290"/>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It is assumed that the scheme will continue to </w:t>
            </w:r>
            <w:r w:rsidR="00C11EAE">
              <w:rPr>
                <w:rFonts w:asciiTheme="minorHAnsi" w:hAnsiTheme="minorHAnsi"/>
                <w:sz w:val="22"/>
                <w:szCs w:val="22"/>
              </w:rPr>
              <w:t xml:space="preserve">remain open to new generators </w:t>
            </w:r>
            <w:r>
              <w:rPr>
                <w:rFonts w:asciiTheme="minorHAnsi" w:hAnsiTheme="minorHAnsi"/>
                <w:sz w:val="22"/>
                <w:szCs w:val="22"/>
              </w:rPr>
              <w:t xml:space="preserve">until the end of the </w:t>
            </w:r>
            <w:r w:rsidR="00C11EAE">
              <w:rPr>
                <w:rFonts w:asciiTheme="minorHAnsi" w:hAnsiTheme="minorHAnsi"/>
                <w:sz w:val="22"/>
                <w:szCs w:val="22"/>
              </w:rPr>
              <w:t xml:space="preserve">first </w:t>
            </w:r>
            <w:r>
              <w:rPr>
                <w:rFonts w:asciiTheme="minorHAnsi" w:hAnsiTheme="minorHAnsi"/>
                <w:sz w:val="22"/>
                <w:szCs w:val="22"/>
              </w:rPr>
              <w:t>EMR delivery plan period</w:t>
            </w:r>
          </w:p>
        </w:tc>
      </w:tr>
    </w:tbl>
    <w:p w:rsidR="00B343F5" w:rsidRDefault="00B343F5" w:rsidP="00D058EB">
      <w:pPr>
        <w:pStyle w:val="ListParagraph"/>
        <w:ind w:left="567"/>
        <w:contextualSpacing w:val="0"/>
        <w:rPr>
          <w:rFonts w:cstheme="minorHAnsi"/>
          <w:u w:val="single"/>
        </w:rPr>
      </w:pPr>
    </w:p>
    <w:p w:rsidR="00D058EB" w:rsidRPr="00B41463" w:rsidRDefault="00D058EB" w:rsidP="00D058EB">
      <w:pPr>
        <w:pStyle w:val="ListParagraph"/>
        <w:ind w:left="567"/>
        <w:contextualSpacing w:val="0"/>
        <w:rPr>
          <w:rFonts w:cstheme="minorHAnsi"/>
          <w:u w:val="single"/>
        </w:rPr>
      </w:pPr>
      <w:r>
        <w:rPr>
          <w:rFonts w:cstheme="minorHAnsi"/>
          <w:u w:val="single"/>
        </w:rPr>
        <w:t>Comprehensive review</w:t>
      </w:r>
    </w:p>
    <w:p w:rsidR="00D058EB" w:rsidRDefault="00D058EB" w:rsidP="00D058EB">
      <w:pPr>
        <w:pStyle w:val="ListParagraph"/>
        <w:numPr>
          <w:ilvl w:val="1"/>
          <w:numId w:val="14"/>
        </w:numPr>
        <w:ind w:left="567" w:hanging="567"/>
        <w:contextualSpacing w:val="0"/>
        <w:rPr>
          <w:rFonts w:cstheme="minorHAnsi"/>
        </w:rPr>
      </w:pPr>
      <w:r>
        <w:rPr>
          <w:rFonts w:cstheme="minorHAnsi"/>
        </w:rPr>
        <w:t xml:space="preserve">The comprehensive review would occur in 2018/19 to align with the end of the </w:t>
      </w:r>
      <w:r w:rsidR="00C11EAE">
        <w:rPr>
          <w:rFonts w:cstheme="minorHAnsi"/>
        </w:rPr>
        <w:t xml:space="preserve">first </w:t>
      </w:r>
      <w:r>
        <w:rPr>
          <w:rFonts w:cstheme="minorHAnsi"/>
        </w:rPr>
        <w:t>EMR delivery plan.</w:t>
      </w:r>
    </w:p>
    <w:p w:rsidR="00D058EB" w:rsidRDefault="00B343F5" w:rsidP="00D058EB">
      <w:pPr>
        <w:pStyle w:val="ListParagraph"/>
        <w:numPr>
          <w:ilvl w:val="1"/>
          <w:numId w:val="14"/>
        </w:numPr>
        <w:ind w:left="567" w:hanging="567"/>
        <w:contextualSpacing w:val="0"/>
        <w:rPr>
          <w:rFonts w:cstheme="minorHAnsi"/>
        </w:rPr>
      </w:pPr>
      <w:r>
        <w:rPr>
          <w:rFonts w:cstheme="minorHAnsi"/>
        </w:rPr>
        <w:t>T</w:t>
      </w:r>
      <w:r w:rsidR="00D058EB">
        <w:rPr>
          <w:rFonts w:cstheme="minorHAnsi"/>
        </w:rPr>
        <w:t>h</w:t>
      </w:r>
      <w:r w:rsidR="00C11EAE">
        <w:rPr>
          <w:rFonts w:cstheme="minorHAnsi"/>
        </w:rPr>
        <w:t>e primary objective for the</w:t>
      </w:r>
      <w:r w:rsidR="00D058EB">
        <w:rPr>
          <w:rFonts w:cstheme="minorHAnsi"/>
        </w:rPr>
        <w:t xml:space="preserve"> review would be </w:t>
      </w:r>
      <w:r w:rsidR="00C11EAE">
        <w:rPr>
          <w:rFonts w:cstheme="minorHAnsi"/>
        </w:rPr>
        <w:t xml:space="preserve">to consider whether or not the scheme should remain open for new generators. The review would also consider whether, if the scheme is to remain open to new generators, any aspects of the design would need to be changed, with all the parameters </w:t>
      </w:r>
      <w:r w:rsidR="00EF3A6E">
        <w:rPr>
          <w:rFonts w:cstheme="minorHAnsi"/>
        </w:rPr>
        <w:t>identified in Table [2]</w:t>
      </w:r>
      <w:r w:rsidR="00C11EAE">
        <w:rPr>
          <w:rFonts w:cstheme="minorHAnsi"/>
        </w:rPr>
        <w:t xml:space="preserve"> being potentially within scope</w:t>
      </w:r>
      <w:r w:rsidR="00EF3A6E">
        <w:rPr>
          <w:rFonts w:cstheme="minorHAnsi"/>
        </w:rPr>
        <w:t xml:space="preserve">. </w:t>
      </w:r>
    </w:p>
    <w:p w:rsidR="00A660D3" w:rsidRDefault="00D058EB" w:rsidP="00B343F5">
      <w:pPr>
        <w:pStyle w:val="ListParagraph"/>
        <w:numPr>
          <w:ilvl w:val="1"/>
          <w:numId w:val="14"/>
        </w:numPr>
        <w:ind w:left="567" w:hanging="567"/>
        <w:contextualSpacing w:val="0"/>
        <w:rPr>
          <w:rFonts w:cstheme="minorHAnsi"/>
        </w:rPr>
      </w:pPr>
      <w:r w:rsidRPr="00D058EB">
        <w:rPr>
          <w:rFonts w:cstheme="minorHAnsi"/>
        </w:rPr>
        <w:t>In addition to the sources of data identified for the annual updates, the comprehensive review would likely include a Call for Evidence.</w:t>
      </w:r>
    </w:p>
    <w:p w:rsidR="00EF3A6E" w:rsidRDefault="00EF3A6E" w:rsidP="00EF3A6E">
      <w:pPr>
        <w:pStyle w:val="Heading3"/>
        <w:numPr>
          <w:ilvl w:val="0"/>
          <w:numId w:val="14"/>
        </w:numPr>
        <w:spacing w:after="200"/>
        <w:ind w:left="357" w:hanging="357"/>
      </w:pPr>
      <w:r>
        <w:t>Questions for Advisory Group</w:t>
      </w:r>
    </w:p>
    <w:p w:rsidR="00EF3A6E" w:rsidRDefault="00EF3A6E" w:rsidP="00EF3A6E">
      <w:pPr>
        <w:rPr>
          <w:b/>
        </w:rPr>
      </w:pPr>
      <w:r w:rsidRPr="00EF3A6E">
        <w:rPr>
          <w:b/>
        </w:rPr>
        <w:t>Question 1</w:t>
      </w:r>
    </w:p>
    <w:p w:rsidR="00EF3A6E" w:rsidRPr="00EF3A6E" w:rsidRDefault="00EF3A6E" w:rsidP="00EF3A6E">
      <w:pPr>
        <w:pStyle w:val="ListParagraph"/>
        <w:numPr>
          <w:ilvl w:val="0"/>
          <w:numId w:val="49"/>
        </w:numPr>
        <w:rPr>
          <w:rFonts w:cstheme="minorHAnsi"/>
        </w:rPr>
      </w:pPr>
      <w:r w:rsidRPr="00EF3A6E">
        <w:rPr>
          <w:rFonts w:cstheme="minorHAnsi"/>
        </w:rPr>
        <w:t>Is the combination of annual updates and comprehensive review the right one?</w:t>
      </w:r>
    </w:p>
    <w:p w:rsidR="00EF3A6E" w:rsidRDefault="00EF3A6E" w:rsidP="00EF3A6E">
      <w:pPr>
        <w:rPr>
          <w:rFonts w:cstheme="minorHAnsi"/>
          <w:b/>
        </w:rPr>
      </w:pPr>
      <w:r w:rsidRPr="00EF3A6E">
        <w:rPr>
          <w:rFonts w:cstheme="minorHAnsi"/>
          <w:b/>
        </w:rPr>
        <w:t>Question 2</w:t>
      </w:r>
    </w:p>
    <w:p w:rsidR="00EF3A6E" w:rsidRPr="00EF3A6E" w:rsidRDefault="00EF3A6E" w:rsidP="00EF3A6E">
      <w:pPr>
        <w:pStyle w:val="ListParagraph"/>
        <w:numPr>
          <w:ilvl w:val="0"/>
          <w:numId w:val="49"/>
        </w:numPr>
        <w:rPr>
          <w:rFonts w:cstheme="minorHAnsi"/>
        </w:rPr>
      </w:pPr>
      <w:r w:rsidRPr="00EF3A6E">
        <w:rPr>
          <w:rFonts w:cstheme="minorHAnsi"/>
        </w:rPr>
        <w:t>Does the proposed approach strike the correct balance between being clear about the intentions of the process whilst allowing sufficient flexibility in its implementation?</w:t>
      </w:r>
    </w:p>
    <w:p w:rsidR="00EF3A6E" w:rsidRDefault="00EF3A6E" w:rsidP="00EF3A6E">
      <w:pPr>
        <w:rPr>
          <w:rFonts w:cstheme="minorHAnsi"/>
          <w:b/>
        </w:rPr>
      </w:pPr>
      <w:r w:rsidRPr="00EF3A6E">
        <w:rPr>
          <w:rFonts w:cstheme="minorHAnsi"/>
          <w:b/>
        </w:rPr>
        <w:t>Question 3</w:t>
      </w:r>
    </w:p>
    <w:p w:rsidR="00EF3A6E" w:rsidRPr="00C11EAE" w:rsidRDefault="00C11EAE" w:rsidP="00C11EAE">
      <w:pPr>
        <w:pStyle w:val="ListParagraph"/>
        <w:numPr>
          <w:ilvl w:val="0"/>
          <w:numId w:val="49"/>
        </w:numPr>
        <w:rPr>
          <w:rFonts w:cstheme="minorHAnsi"/>
        </w:rPr>
      </w:pPr>
      <w:r w:rsidRPr="00861029">
        <w:rPr>
          <w:color w:val="000000" w:themeColor="text1"/>
        </w:rPr>
        <w:t xml:space="preserve"> </w:t>
      </w:r>
      <w:r w:rsidRPr="00861029">
        <w:rPr>
          <w:rFonts w:cstheme="minorHAnsi"/>
        </w:rPr>
        <w:t xml:space="preserve">Does the group have any suggestions for data sources to inform scheme </w:t>
      </w:r>
      <w:r w:rsidRPr="00C11EAE">
        <w:rPr>
          <w:rFonts w:cstheme="minorHAnsi"/>
        </w:rPr>
        <w:t>reviews</w:t>
      </w:r>
      <w:r w:rsidR="00EF3A6E" w:rsidRPr="00C11EAE">
        <w:rPr>
          <w:rFonts w:cstheme="minorHAnsi"/>
        </w:rPr>
        <w:t>?</w:t>
      </w:r>
    </w:p>
    <w:p w:rsidR="00AA6311" w:rsidRDefault="00AA6311" w:rsidP="007617AF">
      <w:pPr>
        <w:rPr>
          <w:rFonts w:cstheme="minorHAnsi"/>
        </w:rPr>
      </w:pPr>
    </w:p>
    <w:sectPr w:rsidR="00AA6311" w:rsidSect="006C4EC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419" w:rsidRDefault="00555419" w:rsidP="005A0ACF">
      <w:pPr>
        <w:spacing w:after="0" w:line="240" w:lineRule="auto"/>
      </w:pPr>
      <w:r>
        <w:separator/>
      </w:r>
    </w:p>
  </w:endnote>
  <w:endnote w:type="continuationSeparator" w:id="0">
    <w:p w:rsidR="00555419" w:rsidRDefault="00555419"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816EA9" w:rsidRDefault="00816EA9">
        <w:pPr>
          <w:pStyle w:val="Footer"/>
          <w:jc w:val="right"/>
        </w:pPr>
        <w:r>
          <w:fldChar w:fldCharType="begin"/>
        </w:r>
        <w:r>
          <w:instrText xml:space="preserve"> PAGE   \* MERGEFORMAT </w:instrText>
        </w:r>
        <w:r>
          <w:fldChar w:fldCharType="separate"/>
        </w:r>
        <w:r w:rsidR="0036425F">
          <w:rPr>
            <w:noProof/>
          </w:rPr>
          <w:t>4</w:t>
        </w:r>
        <w:r>
          <w:rPr>
            <w:noProof/>
          </w:rPr>
          <w:fldChar w:fldCharType="end"/>
        </w:r>
      </w:p>
    </w:sdtContent>
  </w:sdt>
  <w:p w:rsidR="00816EA9" w:rsidRDefault="00816E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419" w:rsidRDefault="00555419" w:rsidP="005A0ACF">
      <w:pPr>
        <w:spacing w:after="0" w:line="240" w:lineRule="auto"/>
      </w:pPr>
      <w:r>
        <w:separator/>
      </w:r>
    </w:p>
  </w:footnote>
  <w:footnote w:type="continuationSeparator" w:id="0">
    <w:p w:rsidR="00555419" w:rsidRDefault="00555419" w:rsidP="005A0ACF">
      <w:pPr>
        <w:spacing w:after="0" w:line="240" w:lineRule="auto"/>
      </w:pPr>
      <w:r>
        <w:continuationSeparator/>
      </w:r>
    </w:p>
  </w:footnote>
  <w:footnote w:id="1">
    <w:p w:rsidR="00F0569F" w:rsidRPr="005942B0" w:rsidRDefault="00F0569F">
      <w:pPr>
        <w:pStyle w:val="FootnoteText"/>
        <w:rPr>
          <w:rFonts w:asciiTheme="minorHAnsi" w:hAnsiTheme="minorHAnsi" w:cstheme="minorHAnsi"/>
          <w:lang w:val="en-GB"/>
        </w:rPr>
      </w:pPr>
      <w:r w:rsidRPr="005942B0">
        <w:rPr>
          <w:rStyle w:val="FootnoteReference"/>
          <w:rFonts w:asciiTheme="minorHAnsi" w:hAnsiTheme="minorHAnsi" w:cstheme="minorHAnsi"/>
        </w:rPr>
        <w:footnoteRef/>
      </w:r>
      <w:r w:rsidRPr="005942B0">
        <w:rPr>
          <w:rFonts w:asciiTheme="minorHAnsi" w:hAnsiTheme="minorHAnsi" w:cstheme="minorHAnsi"/>
        </w:rPr>
        <w:t xml:space="preserve"> </w:t>
      </w:r>
      <w:r w:rsidRPr="005942B0">
        <w:rPr>
          <w:rFonts w:asciiTheme="minorHAnsi" w:hAnsiTheme="minorHAnsi" w:cstheme="minorHAnsi"/>
          <w:lang w:val="en-GB"/>
        </w:rPr>
        <w:t>Note that there may need to be a mechanism for adjusting the terms of grandfathered backstop PPAs</w:t>
      </w:r>
      <w:r w:rsidR="001645EF" w:rsidRPr="005942B0">
        <w:rPr>
          <w:rFonts w:asciiTheme="minorHAnsi" w:hAnsiTheme="minorHAnsi" w:cstheme="minorHAnsi"/>
          <w:lang w:val="en-GB"/>
        </w:rPr>
        <w:t xml:space="preserve"> if required due to changes in law or regulation. This will be explored further in the paper on backstop PPA terms.</w:t>
      </w:r>
      <w:r w:rsidRPr="005942B0">
        <w:rPr>
          <w:rFonts w:asciiTheme="minorHAnsi" w:hAnsiTheme="minorHAnsi" w:cstheme="minorHAnsi"/>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A9" w:rsidRPr="00804C8B" w:rsidRDefault="00A04E4C" w:rsidP="002D3C56">
    <w:pPr>
      <w:pStyle w:val="Header"/>
      <w:rPr>
        <w:rFonts w:cstheme="minorHAnsi"/>
        <w:b/>
      </w:rPr>
    </w:pPr>
    <w:r>
      <w:rPr>
        <w:rFonts w:cstheme="minorHAnsi"/>
        <w:b/>
      </w:rPr>
      <w:t>OLRAG 2.0</w:t>
    </w:r>
    <w:r w:rsidR="0090101E">
      <w:rPr>
        <w:rFonts w:cstheme="minorHAnsi"/>
        <w:b/>
      </w:rPr>
      <w:t>1</w:t>
    </w:r>
    <w:r w:rsidR="00816EA9" w:rsidRPr="00804C8B">
      <w:rPr>
        <w:rFonts w:cstheme="minorHAnsi"/>
        <w:b/>
      </w:rPr>
      <w:t xml:space="preserve"> – </w:t>
    </w:r>
    <w:r w:rsidR="00816EA9">
      <w:rPr>
        <w:rFonts w:cstheme="minorHAnsi"/>
        <w:b/>
      </w:rPr>
      <w:t>Scheme Review</w:t>
    </w:r>
    <w:r w:rsidR="00816EA9" w:rsidRPr="00804C8B">
      <w:rPr>
        <w:rFonts w:cstheme="minorHAnsi"/>
        <w:b/>
      </w:rPr>
      <w:tab/>
      <w:t>DRAFT FOR DISCUSSION</w:t>
    </w:r>
    <w:r w:rsidR="00816EA9" w:rsidRPr="00804C8B">
      <w:rPr>
        <w:rFonts w:cstheme="minorHAnsi"/>
        <w:b/>
      </w:rPr>
      <w:tab/>
    </w:r>
    <w:r>
      <w:rPr>
        <w:rFonts w:cstheme="minorHAnsi"/>
        <w:b/>
      </w:rPr>
      <w:t>16</w:t>
    </w:r>
    <w:r w:rsidR="00816EA9" w:rsidRPr="00804C8B">
      <w:rPr>
        <w:rFonts w:cstheme="minorHAnsi"/>
        <w:b/>
      </w:rPr>
      <w:t xml:space="preserve"> October 2013</w:t>
    </w:r>
  </w:p>
  <w:p w:rsidR="00816EA9" w:rsidRDefault="00816E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26pt" o:bullet="t">
        <v:imagedata r:id="rId1" o:title="blue_bullet"/>
      </v:shape>
    </w:pict>
  </w:numPicBullet>
  <w:abstractNum w:abstractNumId="0">
    <w:nsid w:val="02094082"/>
    <w:multiLevelType w:val="hybridMultilevel"/>
    <w:tmpl w:val="60D8B32A"/>
    <w:lvl w:ilvl="0" w:tplc="D0747A10">
      <w:start w:val="1"/>
      <w:numFmt w:val="lowerRoman"/>
      <w:lvlText w:val="%1."/>
      <w:lvlJc w:val="righ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8123876"/>
    <w:multiLevelType w:val="hybridMultilevel"/>
    <w:tmpl w:val="881CFDF2"/>
    <w:lvl w:ilvl="0" w:tplc="08090015">
      <w:start w:val="1"/>
      <w:numFmt w:val="upp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
    <w:nsid w:val="0BE502B8"/>
    <w:multiLevelType w:val="multilevel"/>
    <w:tmpl w:val="694C0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E9354D3"/>
    <w:multiLevelType w:val="multilevel"/>
    <w:tmpl w:val="B05C3D96"/>
    <w:lvl w:ilvl="0">
      <w:start w:val="2"/>
      <w:numFmt w:val="decimal"/>
      <w:lvlText w:val="%1."/>
      <w:lvlJc w:val="left"/>
      <w:pPr>
        <w:ind w:left="360" w:hanging="360"/>
      </w:pPr>
      <w:rPr>
        <w:rFonts w:hint="default"/>
      </w:rPr>
    </w:lvl>
    <w:lvl w:ilvl="1">
      <w:start w:val="1"/>
      <w:numFmt w:val="bullet"/>
      <w:lvlText w:val=""/>
      <w:lvlPicBulletId w:val="0"/>
      <w:lvlJc w:val="left"/>
      <w:pPr>
        <w:ind w:left="792" w:hanging="432"/>
      </w:pPr>
      <w:rPr>
        <w:rFonts w:ascii="Symbol" w:hAnsi="Symbol"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184190"/>
    <w:multiLevelType w:val="hybridMultilevel"/>
    <w:tmpl w:val="D32004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F1B4116"/>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FC6FDA"/>
    <w:multiLevelType w:val="multilevel"/>
    <w:tmpl w:val="F0A6AC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0013150"/>
    <w:multiLevelType w:val="hybridMultilevel"/>
    <w:tmpl w:val="F744B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0220E41"/>
    <w:multiLevelType w:val="multilevel"/>
    <w:tmpl w:val="69A8B8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05E1901"/>
    <w:multiLevelType w:val="hybridMultilevel"/>
    <w:tmpl w:val="60D8B32A"/>
    <w:lvl w:ilvl="0" w:tplc="D0747A10">
      <w:start w:val="1"/>
      <w:numFmt w:val="lowerRoman"/>
      <w:lvlText w:val="%1."/>
      <w:lvlJc w:val="righ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1477BCF"/>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6321CA"/>
    <w:multiLevelType w:val="hybridMultilevel"/>
    <w:tmpl w:val="0E82E43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8F34DB3"/>
    <w:multiLevelType w:val="hybridMultilevel"/>
    <w:tmpl w:val="2022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C755B77"/>
    <w:multiLevelType w:val="hybridMultilevel"/>
    <w:tmpl w:val="19DC7B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947FAC"/>
    <w:multiLevelType w:val="hybridMultilevel"/>
    <w:tmpl w:val="A14EB1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C53ECF"/>
    <w:multiLevelType w:val="hybridMultilevel"/>
    <w:tmpl w:val="96D4DF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24213827"/>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4603581"/>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7645D90"/>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2979364E"/>
    <w:multiLevelType w:val="hybridMultilevel"/>
    <w:tmpl w:val="F0940B62"/>
    <w:lvl w:ilvl="0" w:tplc="08090001">
      <w:start w:val="1"/>
      <w:numFmt w:val="bullet"/>
      <w:lvlText w:val=""/>
      <w:lvlJc w:val="left"/>
      <w:pPr>
        <w:ind w:left="2127" w:hanging="360"/>
      </w:pPr>
      <w:rPr>
        <w:rFonts w:ascii="Symbol" w:hAnsi="Symbol" w:hint="default"/>
      </w:rPr>
    </w:lvl>
    <w:lvl w:ilvl="1" w:tplc="08090003" w:tentative="1">
      <w:start w:val="1"/>
      <w:numFmt w:val="bullet"/>
      <w:lvlText w:val="o"/>
      <w:lvlJc w:val="left"/>
      <w:pPr>
        <w:ind w:left="2847" w:hanging="360"/>
      </w:pPr>
      <w:rPr>
        <w:rFonts w:ascii="Courier New" w:hAnsi="Courier New" w:cs="Courier New" w:hint="default"/>
      </w:rPr>
    </w:lvl>
    <w:lvl w:ilvl="2" w:tplc="08090005" w:tentative="1">
      <w:start w:val="1"/>
      <w:numFmt w:val="bullet"/>
      <w:lvlText w:val=""/>
      <w:lvlJc w:val="left"/>
      <w:pPr>
        <w:ind w:left="3567" w:hanging="360"/>
      </w:pPr>
      <w:rPr>
        <w:rFonts w:ascii="Wingdings" w:hAnsi="Wingdings" w:hint="default"/>
      </w:rPr>
    </w:lvl>
    <w:lvl w:ilvl="3" w:tplc="08090001" w:tentative="1">
      <w:start w:val="1"/>
      <w:numFmt w:val="bullet"/>
      <w:lvlText w:val=""/>
      <w:lvlJc w:val="left"/>
      <w:pPr>
        <w:ind w:left="4287" w:hanging="360"/>
      </w:pPr>
      <w:rPr>
        <w:rFonts w:ascii="Symbol" w:hAnsi="Symbol" w:hint="default"/>
      </w:rPr>
    </w:lvl>
    <w:lvl w:ilvl="4" w:tplc="08090003" w:tentative="1">
      <w:start w:val="1"/>
      <w:numFmt w:val="bullet"/>
      <w:lvlText w:val="o"/>
      <w:lvlJc w:val="left"/>
      <w:pPr>
        <w:ind w:left="5007" w:hanging="360"/>
      </w:pPr>
      <w:rPr>
        <w:rFonts w:ascii="Courier New" w:hAnsi="Courier New" w:cs="Courier New" w:hint="default"/>
      </w:rPr>
    </w:lvl>
    <w:lvl w:ilvl="5" w:tplc="08090005" w:tentative="1">
      <w:start w:val="1"/>
      <w:numFmt w:val="bullet"/>
      <w:lvlText w:val=""/>
      <w:lvlJc w:val="left"/>
      <w:pPr>
        <w:ind w:left="5727" w:hanging="360"/>
      </w:pPr>
      <w:rPr>
        <w:rFonts w:ascii="Wingdings" w:hAnsi="Wingdings" w:hint="default"/>
      </w:rPr>
    </w:lvl>
    <w:lvl w:ilvl="6" w:tplc="08090001" w:tentative="1">
      <w:start w:val="1"/>
      <w:numFmt w:val="bullet"/>
      <w:lvlText w:val=""/>
      <w:lvlJc w:val="left"/>
      <w:pPr>
        <w:ind w:left="6447" w:hanging="360"/>
      </w:pPr>
      <w:rPr>
        <w:rFonts w:ascii="Symbol" w:hAnsi="Symbol" w:hint="default"/>
      </w:rPr>
    </w:lvl>
    <w:lvl w:ilvl="7" w:tplc="08090003" w:tentative="1">
      <w:start w:val="1"/>
      <w:numFmt w:val="bullet"/>
      <w:lvlText w:val="o"/>
      <w:lvlJc w:val="left"/>
      <w:pPr>
        <w:ind w:left="7167" w:hanging="360"/>
      </w:pPr>
      <w:rPr>
        <w:rFonts w:ascii="Courier New" w:hAnsi="Courier New" w:cs="Courier New" w:hint="default"/>
      </w:rPr>
    </w:lvl>
    <w:lvl w:ilvl="8" w:tplc="08090005" w:tentative="1">
      <w:start w:val="1"/>
      <w:numFmt w:val="bullet"/>
      <w:lvlText w:val=""/>
      <w:lvlJc w:val="left"/>
      <w:pPr>
        <w:ind w:left="7887" w:hanging="360"/>
      </w:pPr>
      <w:rPr>
        <w:rFonts w:ascii="Wingdings" w:hAnsi="Wingdings" w:hint="default"/>
      </w:rPr>
    </w:lvl>
  </w:abstractNum>
  <w:abstractNum w:abstractNumId="20">
    <w:nsid w:val="2BA47802"/>
    <w:multiLevelType w:val="hybridMultilevel"/>
    <w:tmpl w:val="60D8B32A"/>
    <w:lvl w:ilvl="0" w:tplc="D0747A10">
      <w:start w:val="1"/>
      <w:numFmt w:val="lowerRoman"/>
      <w:lvlText w:val="%1."/>
      <w:lvlJc w:val="righ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FC84BF8"/>
    <w:multiLevelType w:val="hybridMultilevel"/>
    <w:tmpl w:val="6066C798"/>
    <w:lvl w:ilvl="0" w:tplc="386CEF20">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B451BE"/>
    <w:multiLevelType w:val="hybridMultilevel"/>
    <w:tmpl w:val="6C5C7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E4B717B"/>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E9352CD"/>
    <w:multiLevelType w:val="hybridMultilevel"/>
    <w:tmpl w:val="6EFE66E0"/>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46112F"/>
    <w:multiLevelType w:val="hybridMultilevel"/>
    <w:tmpl w:val="719AB46A"/>
    <w:lvl w:ilvl="0" w:tplc="0809001B">
      <w:start w:val="1"/>
      <w:numFmt w:val="lowerRoman"/>
      <w:lvlText w:val="%1."/>
      <w:lvlJc w:val="right"/>
      <w:pPr>
        <w:ind w:left="960" w:hanging="360"/>
      </w:p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6">
    <w:nsid w:val="40B92E2F"/>
    <w:multiLevelType w:val="hybridMultilevel"/>
    <w:tmpl w:val="5B0A06EE"/>
    <w:lvl w:ilvl="0" w:tplc="08090001">
      <w:start w:val="1"/>
      <w:numFmt w:val="bullet"/>
      <w:lvlText w:val=""/>
      <w:lvlJc w:val="left"/>
      <w:pPr>
        <w:ind w:left="720" w:hanging="360"/>
      </w:pPr>
      <w:rPr>
        <w:rFonts w:ascii="Symbol" w:hAnsi="Symbol" w:hint="default"/>
        <w:b w:val="0"/>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5B91513"/>
    <w:multiLevelType w:val="hybridMultilevel"/>
    <w:tmpl w:val="719AB46A"/>
    <w:lvl w:ilvl="0" w:tplc="0809001B">
      <w:start w:val="1"/>
      <w:numFmt w:val="lowerRoman"/>
      <w:lvlText w:val="%1."/>
      <w:lvlJc w:val="right"/>
      <w:pPr>
        <w:ind w:left="960" w:hanging="360"/>
      </w:p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8">
    <w:nsid w:val="4BEC690A"/>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D5509A3"/>
    <w:multiLevelType w:val="hybridMultilevel"/>
    <w:tmpl w:val="B9687F04"/>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D696A26"/>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0D03B9"/>
    <w:multiLevelType w:val="hybridMultilevel"/>
    <w:tmpl w:val="1EF85E8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2">
    <w:nsid w:val="4E91595C"/>
    <w:multiLevelType w:val="hybridMultilevel"/>
    <w:tmpl w:val="B7642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03B1F4F"/>
    <w:multiLevelType w:val="hybridMultilevel"/>
    <w:tmpl w:val="A45853CC"/>
    <w:lvl w:ilvl="0" w:tplc="0809001B">
      <w:start w:val="1"/>
      <w:numFmt w:val="lowerRoman"/>
      <w:lvlText w:val="%1."/>
      <w:lvlJc w:val="right"/>
      <w:pPr>
        <w:ind w:left="1944" w:hanging="360"/>
      </w:p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abstractNum w:abstractNumId="34">
    <w:nsid w:val="55283685"/>
    <w:multiLevelType w:val="hybridMultilevel"/>
    <w:tmpl w:val="892859A2"/>
    <w:lvl w:ilvl="0" w:tplc="67F82FC0">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67E5AAF"/>
    <w:multiLevelType w:val="hybridMultilevel"/>
    <w:tmpl w:val="693C851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9E85CB8"/>
    <w:multiLevelType w:val="hybridMultilevel"/>
    <w:tmpl w:val="9B5235F0"/>
    <w:lvl w:ilvl="0" w:tplc="EE003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A106FC1"/>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E746434"/>
    <w:multiLevelType w:val="hybridMultilevel"/>
    <w:tmpl w:val="719AB46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60491EF7"/>
    <w:multiLevelType w:val="hybridMultilevel"/>
    <w:tmpl w:val="5BBA48A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1554388"/>
    <w:multiLevelType w:val="hybridMultilevel"/>
    <w:tmpl w:val="09C298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93F644F"/>
    <w:multiLevelType w:val="hybridMultilevel"/>
    <w:tmpl w:val="DFA0957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nsid w:val="6BA575B3"/>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F902B71"/>
    <w:multiLevelType w:val="hybridMultilevel"/>
    <w:tmpl w:val="7570DFF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nsid w:val="727E1D35"/>
    <w:multiLevelType w:val="hybridMultilevel"/>
    <w:tmpl w:val="8558F1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nsid w:val="7353033E"/>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75D0394"/>
    <w:multiLevelType w:val="multilevel"/>
    <w:tmpl w:val="98B047D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81F196C"/>
    <w:multiLevelType w:val="hybridMultilevel"/>
    <w:tmpl w:val="60D8B32A"/>
    <w:lvl w:ilvl="0" w:tplc="D0747A10">
      <w:start w:val="1"/>
      <w:numFmt w:val="lowerRoman"/>
      <w:lvlText w:val="%1."/>
      <w:lvlJc w:val="right"/>
      <w:pPr>
        <w:ind w:left="1080" w:hanging="360"/>
      </w:pPr>
      <w:rPr>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7CC13AE6"/>
    <w:multiLevelType w:val="hybridMultilevel"/>
    <w:tmpl w:val="FAAAE87C"/>
    <w:lvl w:ilvl="0" w:tplc="102A99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15"/>
  </w:num>
  <w:num w:numId="3">
    <w:abstractNumId w:val="12"/>
  </w:num>
  <w:num w:numId="4">
    <w:abstractNumId w:val="4"/>
  </w:num>
  <w:num w:numId="5">
    <w:abstractNumId w:val="22"/>
  </w:num>
  <w:num w:numId="6">
    <w:abstractNumId w:val="32"/>
  </w:num>
  <w:num w:numId="7">
    <w:abstractNumId w:val="43"/>
  </w:num>
  <w:num w:numId="8">
    <w:abstractNumId w:val="14"/>
  </w:num>
  <w:num w:numId="9">
    <w:abstractNumId w:val="39"/>
  </w:num>
  <w:num w:numId="10">
    <w:abstractNumId w:val="36"/>
  </w:num>
  <w:num w:numId="11">
    <w:abstractNumId w:val="44"/>
  </w:num>
  <w:num w:numId="12">
    <w:abstractNumId w:val="19"/>
  </w:num>
  <w:num w:numId="13">
    <w:abstractNumId w:val="41"/>
  </w:num>
  <w:num w:numId="14">
    <w:abstractNumId w:val="2"/>
  </w:num>
  <w:num w:numId="15">
    <w:abstractNumId w:val="17"/>
  </w:num>
  <w:num w:numId="16">
    <w:abstractNumId w:val="6"/>
  </w:num>
  <w:num w:numId="17">
    <w:abstractNumId w:val="8"/>
  </w:num>
  <w:num w:numId="18">
    <w:abstractNumId w:val="34"/>
  </w:num>
  <w:num w:numId="19">
    <w:abstractNumId w:val="35"/>
  </w:num>
  <w:num w:numId="20">
    <w:abstractNumId w:val="24"/>
  </w:num>
  <w:num w:numId="21">
    <w:abstractNumId w:val="3"/>
  </w:num>
  <w:num w:numId="22">
    <w:abstractNumId w:val="30"/>
  </w:num>
  <w:num w:numId="23">
    <w:abstractNumId w:val="10"/>
  </w:num>
  <w:num w:numId="24">
    <w:abstractNumId w:val="29"/>
  </w:num>
  <w:num w:numId="25">
    <w:abstractNumId w:val="11"/>
  </w:num>
  <w:num w:numId="26">
    <w:abstractNumId w:val="37"/>
  </w:num>
  <w:num w:numId="27">
    <w:abstractNumId w:val="33"/>
  </w:num>
  <w:num w:numId="28">
    <w:abstractNumId w:val="23"/>
  </w:num>
  <w:num w:numId="29">
    <w:abstractNumId w:val="1"/>
  </w:num>
  <w:num w:numId="30">
    <w:abstractNumId w:val="42"/>
  </w:num>
  <w:num w:numId="31">
    <w:abstractNumId w:val="47"/>
  </w:num>
  <w:num w:numId="32">
    <w:abstractNumId w:val="46"/>
  </w:num>
  <w:num w:numId="33">
    <w:abstractNumId w:val="38"/>
  </w:num>
  <w:num w:numId="34">
    <w:abstractNumId w:val="9"/>
  </w:num>
  <w:num w:numId="35">
    <w:abstractNumId w:val="16"/>
  </w:num>
  <w:num w:numId="36">
    <w:abstractNumId w:val="48"/>
  </w:num>
  <w:num w:numId="37">
    <w:abstractNumId w:val="25"/>
  </w:num>
  <w:num w:numId="38">
    <w:abstractNumId w:val="20"/>
  </w:num>
  <w:num w:numId="39">
    <w:abstractNumId w:val="7"/>
  </w:num>
  <w:num w:numId="40">
    <w:abstractNumId w:val="45"/>
  </w:num>
  <w:num w:numId="41">
    <w:abstractNumId w:val="21"/>
  </w:num>
  <w:num w:numId="42">
    <w:abstractNumId w:val="0"/>
  </w:num>
  <w:num w:numId="43">
    <w:abstractNumId w:val="18"/>
  </w:num>
  <w:num w:numId="44">
    <w:abstractNumId w:val="31"/>
  </w:num>
  <w:num w:numId="45">
    <w:abstractNumId w:val="40"/>
  </w:num>
  <w:num w:numId="46">
    <w:abstractNumId w:val="27"/>
  </w:num>
  <w:num w:numId="47">
    <w:abstractNumId w:val="28"/>
  </w:num>
  <w:num w:numId="48">
    <w:abstractNumId w:val="5"/>
  </w:num>
  <w:num w:numId="4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6CB2"/>
    <w:rsid w:val="00010299"/>
    <w:rsid w:val="00011751"/>
    <w:rsid w:val="00013F64"/>
    <w:rsid w:val="000150C4"/>
    <w:rsid w:val="000225C5"/>
    <w:rsid w:val="00030BFC"/>
    <w:rsid w:val="00033D6B"/>
    <w:rsid w:val="0004110F"/>
    <w:rsid w:val="000437BF"/>
    <w:rsid w:val="00054FD9"/>
    <w:rsid w:val="0005532F"/>
    <w:rsid w:val="000638B8"/>
    <w:rsid w:val="00076997"/>
    <w:rsid w:val="0008468F"/>
    <w:rsid w:val="00084D95"/>
    <w:rsid w:val="000A1E4C"/>
    <w:rsid w:val="000A6456"/>
    <w:rsid w:val="000A6C21"/>
    <w:rsid w:val="000B557B"/>
    <w:rsid w:val="000C1A5F"/>
    <w:rsid w:val="000C2045"/>
    <w:rsid w:val="000C5355"/>
    <w:rsid w:val="000E05A1"/>
    <w:rsid w:val="000E51C2"/>
    <w:rsid w:val="000F4F48"/>
    <w:rsid w:val="000F6ADF"/>
    <w:rsid w:val="000F6FA9"/>
    <w:rsid w:val="00101688"/>
    <w:rsid w:val="00104DC7"/>
    <w:rsid w:val="00110B4D"/>
    <w:rsid w:val="00112015"/>
    <w:rsid w:val="00135403"/>
    <w:rsid w:val="00141CC0"/>
    <w:rsid w:val="001432E3"/>
    <w:rsid w:val="00150529"/>
    <w:rsid w:val="0015097C"/>
    <w:rsid w:val="00155A98"/>
    <w:rsid w:val="00157F2B"/>
    <w:rsid w:val="00164232"/>
    <w:rsid w:val="001645EF"/>
    <w:rsid w:val="00167E73"/>
    <w:rsid w:val="001735FD"/>
    <w:rsid w:val="0018038A"/>
    <w:rsid w:val="001A1F30"/>
    <w:rsid w:val="001A68FD"/>
    <w:rsid w:val="001B001D"/>
    <w:rsid w:val="001B3606"/>
    <w:rsid w:val="001B593F"/>
    <w:rsid w:val="001C107F"/>
    <w:rsid w:val="001D1093"/>
    <w:rsid w:val="001D236E"/>
    <w:rsid w:val="001E694A"/>
    <w:rsid w:val="001F3377"/>
    <w:rsid w:val="001F4965"/>
    <w:rsid w:val="001F75E2"/>
    <w:rsid w:val="0020522E"/>
    <w:rsid w:val="00205401"/>
    <w:rsid w:val="00205D21"/>
    <w:rsid w:val="00206A5E"/>
    <w:rsid w:val="002078C5"/>
    <w:rsid w:val="0021039D"/>
    <w:rsid w:val="00216C44"/>
    <w:rsid w:val="002208FD"/>
    <w:rsid w:val="00231589"/>
    <w:rsid w:val="00240731"/>
    <w:rsid w:val="00246EE6"/>
    <w:rsid w:val="00261847"/>
    <w:rsid w:val="002634A0"/>
    <w:rsid w:val="00281A41"/>
    <w:rsid w:val="00292C51"/>
    <w:rsid w:val="002A2284"/>
    <w:rsid w:val="002A72AE"/>
    <w:rsid w:val="002A782A"/>
    <w:rsid w:val="002A7EB8"/>
    <w:rsid w:val="002B058B"/>
    <w:rsid w:val="002B273A"/>
    <w:rsid w:val="002D3C56"/>
    <w:rsid w:val="002E17B2"/>
    <w:rsid w:val="002E690A"/>
    <w:rsid w:val="002F42D0"/>
    <w:rsid w:val="0032531E"/>
    <w:rsid w:val="003266ED"/>
    <w:rsid w:val="0034495A"/>
    <w:rsid w:val="00352E13"/>
    <w:rsid w:val="0036425F"/>
    <w:rsid w:val="003744D5"/>
    <w:rsid w:val="00374A05"/>
    <w:rsid w:val="003907D6"/>
    <w:rsid w:val="00391B55"/>
    <w:rsid w:val="00393F19"/>
    <w:rsid w:val="003B6A9E"/>
    <w:rsid w:val="003C11FF"/>
    <w:rsid w:val="003C637D"/>
    <w:rsid w:val="003D07CC"/>
    <w:rsid w:val="003D206D"/>
    <w:rsid w:val="003D2721"/>
    <w:rsid w:val="003D567E"/>
    <w:rsid w:val="003E2108"/>
    <w:rsid w:val="003E349B"/>
    <w:rsid w:val="003E4277"/>
    <w:rsid w:val="003F2AD5"/>
    <w:rsid w:val="00400576"/>
    <w:rsid w:val="004031AC"/>
    <w:rsid w:val="00404C59"/>
    <w:rsid w:val="00410938"/>
    <w:rsid w:val="00414500"/>
    <w:rsid w:val="00417BEC"/>
    <w:rsid w:val="00420B91"/>
    <w:rsid w:val="00425C72"/>
    <w:rsid w:val="00434196"/>
    <w:rsid w:val="00440ABA"/>
    <w:rsid w:val="004466F6"/>
    <w:rsid w:val="004564AC"/>
    <w:rsid w:val="00460937"/>
    <w:rsid w:val="00463128"/>
    <w:rsid w:val="00480EF4"/>
    <w:rsid w:val="004917A5"/>
    <w:rsid w:val="00491EE1"/>
    <w:rsid w:val="0049798F"/>
    <w:rsid w:val="00497DCA"/>
    <w:rsid w:val="004A3051"/>
    <w:rsid w:val="004A76E8"/>
    <w:rsid w:val="004B1D37"/>
    <w:rsid w:val="004C0F18"/>
    <w:rsid w:val="004C304C"/>
    <w:rsid w:val="004C6B2F"/>
    <w:rsid w:val="004D3F95"/>
    <w:rsid w:val="004D5799"/>
    <w:rsid w:val="004E41C3"/>
    <w:rsid w:val="004F3DDD"/>
    <w:rsid w:val="004F478D"/>
    <w:rsid w:val="004F580E"/>
    <w:rsid w:val="0050158A"/>
    <w:rsid w:val="00501BA6"/>
    <w:rsid w:val="00503B04"/>
    <w:rsid w:val="00510784"/>
    <w:rsid w:val="00515280"/>
    <w:rsid w:val="005206E2"/>
    <w:rsid w:val="0053182B"/>
    <w:rsid w:val="0053199C"/>
    <w:rsid w:val="00534962"/>
    <w:rsid w:val="00544B5B"/>
    <w:rsid w:val="00553B4A"/>
    <w:rsid w:val="00555419"/>
    <w:rsid w:val="00560C25"/>
    <w:rsid w:val="00561563"/>
    <w:rsid w:val="00572ABE"/>
    <w:rsid w:val="00576BC5"/>
    <w:rsid w:val="005942B0"/>
    <w:rsid w:val="005A0ACF"/>
    <w:rsid w:val="005A0FE4"/>
    <w:rsid w:val="005A4AC9"/>
    <w:rsid w:val="005B1815"/>
    <w:rsid w:val="005C1149"/>
    <w:rsid w:val="005D0402"/>
    <w:rsid w:val="005D52C8"/>
    <w:rsid w:val="00611100"/>
    <w:rsid w:val="00612CE0"/>
    <w:rsid w:val="0061664A"/>
    <w:rsid w:val="0062396E"/>
    <w:rsid w:val="00632F71"/>
    <w:rsid w:val="00643DA3"/>
    <w:rsid w:val="0066148C"/>
    <w:rsid w:val="00675E5C"/>
    <w:rsid w:val="00676AD2"/>
    <w:rsid w:val="00684B2D"/>
    <w:rsid w:val="00686F4A"/>
    <w:rsid w:val="0069200A"/>
    <w:rsid w:val="00697E5C"/>
    <w:rsid w:val="006A59CE"/>
    <w:rsid w:val="006B41F0"/>
    <w:rsid w:val="006C37F5"/>
    <w:rsid w:val="006C4DD3"/>
    <w:rsid w:val="006C4EC4"/>
    <w:rsid w:val="006C6CB4"/>
    <w:rsid w:val="006D387F"/>
    <w:rsid w:val="006E2ABB"/>
    <w:rsid w:val="006F7175"/>
    <w:rsid w:val="00701F99"/>
    <w:rsid w:val="007233EB"/>
    <w:rsid w:val="007364BB"/>
    <w:rsid w:val="0074109F"/>
    <w:rsid w:val="0075126B"/>
    <w:rsid w:val="0075304B"/>
    <w:rsid w:val="00756078"/>
    <w:rsid w:val="007570C9"/>
    <w:rsid w:val="007617AF"/>
    <w:rsid w:val="00767B9B"/>
    <w:rsid w:val="007852BB"/>
    <w:rsid w:val="00791DBF"/>
    <w:rsid w:val="007A019A"/>
    <w:rsid w:val="007A161C"/>
    <w:rsid w:val="007B1055"/>
    <w:rsid w:val="007B1483"/>
    <w:rsid w:val="007B36C6"/>
    <w:rsid w:val="007B6FE7"/>
    <w:rsid w:val="007C794F"/>
    <w:rsid w:val="007D31CF"/>
    <w:rsid w:val="007D70CA"/>
    <w:rsid w:val="007E2FB7"/>
    <w:rsid w:val="007F559A"/>
    <w:rsid w:val="00802A35"/>
    <w:rsid w:val="00806C61"/>
    <w:rsid w:val="00811111"/>
    <w:rsid w:val="00814A20"/>
    <w:rsid w:val="00816EA9"/>
    <w:rsid w:val="008518C0"/>
    <w:rsid w:val="00852174"/>
    <w:rsid w:val="00855362"/>
    <w:rsid w:val="0085670A"/>
    <w:rsid w:val="00861029"/>
    <w:rsid w:val="0086108F"/>
    <w:rsid w:val="008634B0"/>
    <w:rsid w:val="00881CC0"/>
    <w:rsid w:val="0088301D"/>
    <w:rsid w:val="0088442D"/>
    <w:rsid w:val="00895B11"/>
    <w:rsid w:val="008A5FDA"/>
    <w:rsid w:val="008B0EAA"/>
    <w:rsid w:val="008B43CF"/>
    <w:rsid w:val="008B6660"/>
    <w:rsid w:val="008C3BE8"/>
    <w:rsid w:val="008C48F8"/>
    <w:rsid w:val="008C50EA"/>
    <w:rsid w:val="008C6ECB"/>
    <w:rsid w:val="008C74AD"/>
    <w:rsid w:val="008C7BD4"/>
    <w:rsid w:val="008D3FEE"/>
    <w:rsid w:val="008D540C"/>
    <w:rsid w:val="008F0C20"/>
    <w:rsid w:val="008F0D93"/>
    <w:rsid w:val="008F27ED"/>
    <w:rsid w:val="008F3062"/>
    <w:rsid w:val="008F490D"/>
    <w:rsid w:val="008F71CD"/>
    <w:rsid w:val="0090101E"/>
    <w:rsid w:val="009017E7"/>
    <w:rsid w:val="00906C2B"/>
    <w:rsid w:val="00910365"/>
    <w:rsid w:val="00917524"/>
    <w:rsid w:val="00931710"/>
    <w:rsid w:val="009357D2"/>
    <w:rsid w:val="00943B0B"/>
    <w:rsid w:val="00954254"/>
    <w:rsid w:val="0095561A"/>
    <w:rsid w:val="00963EBC"/>
    <w:rsid w:val="0096738B"/>
    <w:rsid w:val="0096797F"/>
    <w:rsid w:val="009950CE"/>
    <w:rsid w:val="009A36DD"/>
    <w:rsid w:val="009A5A89"/>
    <w:rsid w:val="009B2B63"/>
    <w:rsid w:val="009D2A1D"/>
    <w:rsid w:val="009D5CD1"/>
    <w:rsid w:val="009D6605"/>
    <w:rsid w:val="009D7E08"/>
    <w:rsid w:val="009E3B59"/>
    <w:rsid w:val="009E55CB"/>
    <w:rsid w:val="009E7D4B"/>
    <w:rsid w:val="009E7D8B"/>
    <w:rsid w:val="009F1E08"/>
    <w:rsid w:val="009F3304"/>
    <w:rsid w:val="009F488A"/>
    <w:rsid w:val="009F6E70"/>
    <w:rsid w:val="00A0391C"/>
    <w:rsid w:val="00A04E4C"/>
    <w:rsid w:val="00A208A3"/>
    <w:rsid w:val="00A305F2"/>
    <w:rsid w:val="00A4107F"/>
    <w:rsid w:val="00A42F0A"/>
    <w:rsid w:val="00A45B27"/>
    <w:rsid w:val="00A51AFD"/>
    <w:rsid w:val="00A621A6"/>
    <w:rsid w:val="00A6580E"/>
    <w:rsid w:val="00A660D3"/>
    <w:rsid w:val="00A67985"/>
    <w:rsid w:val="00A776F0"/>
    <w:rsid w:val="00A81636"/>
    <w:rsid w:val="00A83B4A"/>
    <w:rsid w:val="00A911AB"/>
    <w:rsid w:val="00A92D7D"/>
    <w:rsid w:val="00AA6311"/>
    <w:rsid w:val="00AA6890"/>
    <w:rsid w:val="00AB0141"/>
    <w:rsid w:val="00AB1084"/>
    <w:rsid w:val="00AB55A1"/>
    <w:rsid w:val="00AC2975"/>
    <w:rsid w:val="00AD3727"/>
    <w:rsid w:val="00AD58A2"/>
    <w:rsid w:val="00AE1003"/>
    <w:rsid w:val="00AE23C2"/>
    <w:rsid w:val="00AE37F6"/>
    <w:rsid w:val="00AE44C5"/>
    <w:rsid w:val="00AE554A"/>
    <w:rsid w:val="00AE5BB1"/>
    <w:rsid w:val="00B05FFC"/>
    <w:rsid w:val="00B077CF"/>
    <w:rsid w:val="00B1781D"/>
    <w:rsid w:val="00B30415"/>
    <w:rsid w:val="00B31D16"/>
    <w:rsid w:val="00B31EFE"/>
    <w:rsid w:val="00B343F5"/>
    <w:rsid w:val="00B34473"/>
    <w:rsid w:val="00B34629"/>
    <w:rsid w:val="00B41463"/>
    <w:rsid w:val="00B41C26"/>
    <w:rsid w:val="00B53D71"/>
    <w:rsid w:val="00B549EC"/>
    <w:rsid w:val="00B56F61"/>
    <w:rsid w:val="00B617BC"/>
    <w:rsid w:val="00B62EC8"/>
    <w:rsid w:val="00B6307E"/>
    <w:rsid w:val="00B641EA"/>
    <w:rsid w:val="00B66029"/>
    <w:rsid w:val="00B746A8"/>
    <w:rsid w:val="00B80A38"/>
    <w:rsid w:val="00B91B7B"/>
    <w:rsid w:val="00B924E4"/>
    <w:rsid w:val="00B9378A"/>
    <w:rsid w:val="00B9581C"/>
    <w:rsid w:val="00BA2FC6"/>
    <w:rsid w:val="00BB4FAA"/>
    <w:rsid w:val="00BB566A"/>
    <w:rsid w:val="00BC5444"/>
    <w:rsid w:val="00BE3E95"/>
    <w:rsid w:val="00BE5331"/>
    <w:rsid w:val="00BF1104"/>
    <w:rsid w:val="00BF7E89"/>
    <w:rsid w:val="00C00F81"/>
    <w:rsid w:val="00C01442"/>
    <w:rsid w:val="00C03F32"/>
    <w:rsid w:val="00C070DF"/>
    <w:rsid w:val="00C07B52"/>
    <w:rsid w:val="00C11EAE"/>
    <w:rsid w:val="00C12B3B"/>
    <w:rsid w:val="00C151B9"/>
    <w:rsid w:val="00C2310D"/>
    <w:rsid w:val="00C27FEE"/>
    <w:rsid w:val="00C32418"/>
    <w:rsid w:val="00C368FD"/>
    <w:rsid w:val="00C37EB6"/>
    <w:rsid w:val="00C4229E"/>
    <w:rsid w:val="00C42543"/>
    <w:rsid w:val="00C45186"/>
    <w:rsid w:val="00C45FF7"/>
    <w:rsid w:val="00C61099"/>
    <w:rsid w:val="00C66198"/>
    <w:rsid w:val="00C75B32"/>
    <w:rsid w:val="00C81704"/>
    <w:rsid w:val="00C83361"/>
    <w:rsid w:val="00C85570"/>
    <w:rsid w:val="00CA0807"/>
    <w:rsid w:val="00CA2DE5"/>
    <w:rsid w:val="00CB3978"/>
    <w:rsid w:val="00CC40DE"/>
    <w:rsid w:val="00CC7A5B"/>
    <w:rsid w:val="00CC7DFC"/>
    <w:rsid w:val="00CD64DD"/>
    <w:rsid w:val="00CE1F01"/>
    <w:rsid w:val="00CF159E"/>
    <w:rsid w:val="00CF4378"/>
    <w:rsid w:val="00CF44E2"/>
    <w:rsid w:val="00D058EB"/>
    <w:rsid w:val="00D11825"/>
    <w:rsid w:val="00D268F7"/>
    <w:rsid w:val="00D31C29"/>
    <w:rsid w:val="00D331B6"/>
    <w:rsid w:val="00D34856"/>
    <w:rsid w:val="00D40FD3"/>
    <w:rsid w:val="00D4276F"/>
    <w:rsid w:val="00D42E41"/>
    <w:rsid w:val="00D51D75"/>
    <w:rsid w:val="00D53E7A"/>
    <w:rsid w:val="00D56451"/>
    <w:rsid w:val="00D63965"/>
    <w:rsid w:val="00D64A6E"/>
    <w:rsid w:val="00D6594C"/>
    <w:rsid w:val="00DA1D61"/>
    <w:rsid w:val="00DA51FA"/>
    <w:rsid w:val="00DA7A62"/>
    <w:rsid w:val="00DC04C4"/>
    <w:rsid w:val="00DC401C"/>
    <w:rsid w:val="00DD4050"/>
    <w:rsid w:val="00DD56BA"/>
    <w:rsid w:val="00DE18DD"/>
    <w:rsid w:val="00DF2F1D"/>
    <w:rsid w:val="00E00D3C"/>
    <w:rsid w:val="00E02F7F"/>
    <w:rsid w:val="00E0669B"/>
    <w:rsid w:val="00E21D20"/>
    <w:rsid w:val="00E34B21"/>
    <w:rsid w:val="00E414C2"/>
    <w:rsid w:val="00E570CB"/>
    <w:rsid w:val="00E71BA4"/>
    <w:rsid w:val="00E7317A"/>
    <w:rsid w:val="00E75556"/>
    <w:rsid w:val="00E8156E"/>
    <w:rsid w:val="00E81806"/>
    <w:rsid w:val="00E9736D"/>
    <w:rsid w:val="00EB2D86"/>
    <w:rsid w:val="00EB3FFE"/>
    <w:rsid w:val="00EC372A"/>
    <w:rsid w:val="00ED41E3"/>
    <w:rsid w:val="00ED7585"/>
    <w:rsid w:val="00EF1AB7"/>
    <w:rsid w:val="00EF1FC3"/>
    <w:rsid w:val="00EF3A6E"/>
    <w:rsid w:val="00EF4C0D"/>
    <w:rsid w:val="00EF6746"/>
    <w:rsid w:val="00EF6B9D"/>
    <w:rsid w:val="00EF79DF"/>
    <w:rsid w:val="00F003D9"/>
    <w:rsid w:val="00F03864"/>
    <w:rsid w:val="00F047E6"/>
    <w:rsid w:val="00F0569F"/>
    <w:rsid w:val="00F06DC9"/>
    <w:rsid w:val="00F14791"/>
    <w:rsid w:val="00F32559"/>
    <w:rsid w:val="00F35C08"/>
    <w:rsid w:val="00F37182"/>
    <w:rsid w:val="00F3774C"/>
    <w:rsid w:val="00F42319"/>
    <w:rsid w:val="00F46D83"/>
    <w:rsid w:val="00F56965"/>
    <w:rsid w:val="00F614CE"/>
    <w:rsid w:val="00F71344"/>
    <w:rsid w:val="00F72C3A"/>
    <w:rsid w:val="00F735C2"/>
    <w:rsid w:val="00F764B0"/>
    <w:rsid w:val="00F853C0"/>
    <w:rsid w:val="00F86E8B"/>
    <w:rsid w:val="00FA28FB"/>
    <w:rsid w:val="00FA2BC9"/>
    <w:rsid w:val="00FA4712"/>
    <w:rsid w:val="00FB05A7"/>
    <w:rsid w:val="00FB0E40"/>
    <w:rsid w:val="00FB35A3"/>
    <w:rsid w:val="00FB465D"/>
    <w:rsid w:val="00FC040E"/>
    <w:rsid w:val="00FC6031"/>
    <w:rsid w:val="00FC6E84"/>
    <w:rsid w:val="00FC7EC9"/>
    <w:rsid w:val="00FD1A66"/>
    <w:rsid w:val="00FD68DA"/>
    <w:rsid w:val="00FE1A64"/>
    <w:rsid w:val="00FE2F43"/>
    <w:rsid w:val="00FE7678"/>
    <w:rsid w:val="00FF55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B80A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B80A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08468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80A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80A3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407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29880-F278-4B1C-BAF5-8DD31B00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80967519</Template>
  <TotalTime>2</TotalTime>
  <Pages>6</Pages>
  <Words>1924</Words>
  <Characters>10969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12868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4</cp:revision>
  <cp:lastPrinted>2013-10-02T14:34:00Z</cp:lastPrinted>
  <dcterms:created xsi:type="dcterms:W3CDTF">2013-10-22T15:54:00Z</dcterms:created>
  <dcterms:modified xsi:type="dcterms:W3CDTF">2013-11-11T17:25:00Z</dcterms:modified>
</cp:coreProperties>
</file>